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E" w:rsidRPr="00CF09FF" w:rsidRDefault="002B3021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REPUBLIKA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SRBIJA</w:t>
      </w:r>
    </w:p>
    <w:p w:rsidR="00E602BE" w:rsidRPr="00CF09FF" w:rsidRDefault="002B3021" w:rsidP="00E602BE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NARODNA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SKUPŠTINA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ab/>
      </w:r>
    </w:p>
    <w:p w:rsidR="00E602BE" w:rsidRPr="00CF09FF" w:rsidRDefault="002B3021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Odbor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za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finansije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republički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budžet</w:t>
      </w:r>
    </w:p>
    <w:p w:rsidR="00E602BE" w:rsidRPr="00CF09FF" w:rsidRDefault="002B3021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kontrolu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trošenja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javnih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sredstava</w:t>
      </w:r>
    </w:p>
    <w:p w:rsidR="00E602BE" w:rsidRPr="00E602BE" w:rsidRDefault="00E602BE" w:rsidP="00E602B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11 </w:t>
      </w:r>
      <w:r w:rsidR="002B3021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Broj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>06-2/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210-23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17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. </w:t>
      </w:r>
      <w:r w:rsidR="002B3021">
        <w:rPr>
          <w:rFonts w:ascii="Times New Roman" w:eastAsia="Times New Roman" w:hAnsi="Times New Roman" w:cs="Times New Roman"/>
          <w:sz w:val="23"/>
          <w:szCs w:val="23"/>
          <w:lang w:eastAsia="en-GB"/>
        </w:rPr>
        <w:t>oktobar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2023. </w:t>
      </w:r>
      <w:r w:rsidR="002B3021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godine</w:t>
      </w:r>
    </w:p>
    <w:p w:rsidR="00E602BE" w:rsidRPr="00CF09FF" w:rsidRDefault="002B3021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B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e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o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g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r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d</w:t>
      </w: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2B3021" w:rsidP="00E6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E602BE" w:rsidRPr="00CF09FF" w:rsidRDefault="00E602BE" w:rsidP="00E6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36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ODBORA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ZA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br/>
      </w:r>
      <w:r w:rsidR="002B3021">
        <w:rPr>
          <w:rFonts w:ascii="Times New Roman" w:eastAsia="Times New Roman" w:hAnsi="Times New Roman" w:cs="Times New Roman"/>
          <w:sz w:val="23"/>
          <w:szCs w:val="23"/>
        </w:rPr>
        <w:t>REPUBLIČKI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BUDžET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TROŠENjA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JAVNIH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021"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E602BE" w:rsidRPr="00CF09FF" w:rsidRDefault="002B3021" w:rsidP="00E6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ODRŽANE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1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>6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1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>7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OKTOBRA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2023.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DONjEM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MILANOVCU</w:t>
      </w: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2B3021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Prvog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dana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>, 1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>6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oktobra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sednica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počela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12,0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>5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časova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</w:p>
    <w:p w:rsidR="00E602BE" w:rsidRPr="00CF09FF" w:rsidRDefault="002B3021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Sednicom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predsedavao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Veroljub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Arsić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predsednik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02BE" w:rsidRPr="00CF09FF" w:rsidRDefault="002B3021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Ana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Beloica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Martać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Miroslav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Kondić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Svetlana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Milijić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Nikola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Radosavljević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>Tijana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Davidovac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Nenad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Mitrović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>,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Vojislav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Vujić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>,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Dragan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Marković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Rozalija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Ekres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02BE" w:rsidRPr="00CF09FF" w:rsidRDefault="002B3021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zamenici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Zoran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Stojanović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zamenik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Veroljuba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Stevanovića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Đorđe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Stanković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zamenik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Miroslava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Aleksića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E602BE" w:rsidRPr="00CF09FF" w:rsidRDefault="002B3021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nisu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>: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Aleksandra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Tomić</w:t>
      </w:r>
      <w:r w:rsidR="00E602BE">
        <w:rPr>
          <w:rFonts w:ascii="Times New Roman" w:eastAsia="Times New Roman" w:hAnsi="Times New Roman" w:cs="Times New Roman"/>
          <w:sz w:val="23"/>
          <w:szCs w:val="23"/>
        </w:rPr>
        <w:t>,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Dušan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Bajatović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Vladimir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Obradović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Bojana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Bukumirović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Nebojša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Zelenović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, </w:t>
      </w:r>
      <w:r>
        <w:rPr>
          <w:rFonts w:ascii="Times New Roman" w:eastAsia="Times New Roman" w:hAnsi="Times New Roman" w:cs="Times New Roman"/>
          <w:sz w:val="23"/>
          <w:szCs w:val="23"/>
        </w:rPr>
        <w:t>niti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njihovi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zamenici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602BE" w:rsidRPr="00E73A3B" w:rsidRDefault="002B3021" w:rsidP="00E602BE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Na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poziv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predsednika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Odbora</w:t>
      </w:r>
      <w:r w:rsidR="00E602BE" w:rsidRPr="00CF09F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sednici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prisustvovali</w:t>
      </w:r>
      <w:r w:rsidR="00E602BE" w:rsidRPr="00CF09FF">
        <w:rPr>
          <w:rFonts w:ascii="Times New Roman" w:hAnsi="Times New Roman"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</w:rPr>
        <w:t>dr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Duško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Pejović</w:t>
      </w:r>
      <w:r w:rsidR="00E602BE" w:rsidRPr="00CF09F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predsednik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Saveta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generalni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602BE" w:rsidRPr="00CF09FF">
        <w:rPr>
          <w:rFonts w:ascii="Times New Roman" w:hAnsi="Times New Roman"/>
          <w:sz w:val="23"/>
          <w:szCs w:val="23"/>
        </w:rPr>
        <w:t>,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Nevenka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Bojanić</w:t>
      </w:r>
      <w:r w:rsidR="008C2AA1">
        <w:rPr>
          <w:rFonts w:ascii="Times New Roman" w:hAnsi="Times New Roman"/>
          <w:sz w:val="23"/>
          <w:szCs w:val="23"/>
        </w:rPr>
        <w:t>,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Ljiljana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Dimitrijević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Marijana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Simović</w:t>
      </w:r>
      <w:r w:rsidR="008C2AA1">
        <w:rPr>
          <w:rFonts w:ascii="Times New Roman" w:hAnsi="Times New Roman"/>
          <w:sz w:val="23"/>
          <w:szCs w:val="23"/>
        </w:rPr>
        <w:t>,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članovi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Saveta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Državne</w:t>
      </w:r>
      <w:r w:rsid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E73A3B">
        <w:rPr>
          <w:rFonts w:ascii="Times New Roman" w:hAnsi="Times New Roman"/>
          <w:sz w:val="23"/>
          <w:szCs w:val="23"/>
        </w:rPr>
        <w:t xml:space="preserve"> </w:t>
      </w:r>
      <w:r w:rsidR="00E73A3B">
        <w:rPr>
          <w:rFonts w:ascii="Times New Roman" w:hAnsi="Times New Roman"/>
          <w:sz w:val="23"/>
          <w:szCs w:val="23"/>
          <w:lang w:val="sr-Cyrl-RS"/>
        </w:rPr>
        <w:t>,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Željko</w:t>
      </w:r>
      <w:r w:rsid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Motić</w:t>
      </w:r>
      <w:r w:rsid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Dragan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Golubović</w:t>
      </w:r>
      <w:r w:rsidR="00E73A3B">
        <w:rPr>
          <w:rFonts w:ascii="Times New Roman" w:hAnsi="Times New Roman"/>
          <w:sz w:val="23"/>
          <w:szCs w:val="23"/>
          <w:lang w:val="sr-Cyrl-RS"/>
        </w:rPr>
        <w:t>,</w:t>
      </w:r>
      <w:r>
        <w:rPr>
          <w:rFonts w:ascii="Times New Roman" w:hAnsi="Times New Roman"/>
          <w:sz w:val="23"/>
          <w:szCs w:val="23"/>
        </w:rPr>
        <w:t>vrhovni</w:t>
      </w:r>
      <w:r w:rsidR="00E73A3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73A3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revizori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Mira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Otović</w:t>
      </w:r>
      <w:r w:rsidR="00E73A3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državni</w:t>
      </w:r>
      <w:r w:rsidR="00E73A3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revizor</w:t>
      </w:r>
      <w:r w:rsidR="00E73A3B">
        <w:rPr>
          <w:rFonts w:ascii="Times New Roman" w:hAnsi="Times New Roman"/>
          <w:sz w:val="23"/>
          <w:szCs w:val="23"/>
          <w:lang w:val="sr-Cyrl-RS"/>
        </w:rPr>
        <w:t>.</w:t>
      </w:r>
    </w:p>
    <w:p w:rsidR="00E602BE" w:rsidRDefault="002B3021" w:rsidP="00E602BE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poziv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predsednika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Odbora</w:t>
      </w:r>
      <w:r w:rsidR="004A166C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sednici</w:t>
      </w:r>
      <w:r w:rsidR="004A166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4A166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prisustvovali</w:t>
      </w:r>
      <w:r w:rsidR="004A166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4A166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predstavnici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Opštine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Majdanpek</w:t>
      </w:r>
      <w:r w:rsidR="008C2AA1">
        <w:rPr>
          <w:rFonts w:ascii="Times New Roman" w:hAnsi="Times New Roman"/>
          <w:sz w:val="23"/>
          <w:szCs w:val="23"/>
        </w:rPr>
        <w:t>: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Dragan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Popović</w:t>
      </w:r>
      <w:r w:rsidR="00E602BE" w:rsidRPr="00CF09F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predsednik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Opštine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Majdanpek</w:t>
      </w:r>
      <w:r w:rsidR="00E602BE" w:rsidRPr="00CF09F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Ljilja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Vasiljević</w:t>
      </w:r>
      <w:r w:rsidR="00E602BE" w:rsidRPr="00CF09F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načelnik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opštinske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uprave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Majdanpek</w:t>
      </w:r>
      <w:r w:rsidR="008C2AA1">
        <w:rPr>
          <w:rFonts w:ascii="Times New Roman" w:hAnsi="Times New Roman"/>
          <w:sz w:val="23"/>
          <w:szCs w:val="23"/>
        </w:rPr>
        <w:t xml:space="preserve">, 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Gordana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Nikolić</w:t>
      </w:r>
      <w:r w:rsidR="008C2AA1">
        <w:rPr>
          <w:rFonts w:ascii="Times New Roman" w:hAnsi="Times New Roman"/>
          <w:sz w:val="23"/>
          <w:szCs w:val="23"/>
        </w:rPr>
        <w:t xml:space="preserve">, 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načelnik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Odeljenja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finansije</w:t>
      </w:r>
      <w:r w:rsidR="005F3942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budžet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trezor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opštinske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uprave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Majdanpek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Lidija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Binđesko</w:t>
      </w:r>
      <w:r w:rsidR="005F3942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šef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Odeljenja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urbanizam</w:t>
      </w:r>
      <w:r w:rsidR="005F3942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građevinarstvo</w:t>
      </w:r>
      <w:r w:rsidR="005F3942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>stambeno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komunalne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inspekcijske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poslove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opštinske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uprave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Majdanpek</w:t>
      </w:r>
      <w:r w:rsidR="00E602BE" w:rsidRPr="00CF09FF">
        <w:rPr>
          <w:rFonts w:ascii="Times New Roman" w:hAnsi="Times New Roman"/>
          <w:sz w:val="23"/>
          <w:szCs w:val="23"/>
        </w:rPr>
        <w:t xml:space="preserve">; </w:t>
      </w:r>
      <w:r>
        <w:rPr>
          <w:rFonts w:ascii="Times New Roman" w:hAnsi="Times New Roman"/>
          <w:sz w:val="23"/>
          <w:szCs w:val="23"/>
        </w:rPr>
        <w:t>i</w:t>
      </w:r>
      <w:r w:rsidR="00FA0AA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predstavnici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UNDP</w:t>
      </w:r>
      <w:r w:rsidR="005F3942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a</w:t>
      </w:r>
      <w:r w:rsidR="005F3942">
        <w:rPr>
          <w:rFonts w:ascii="Times New Roman" w:hAnsi="Times New Roman"/>
          <w:sz w:val="23"/>
          <w:szCs w:val="23"/>
        </w:rPr>
        <w:t xml:space="preserve"> :</w:t>
      </w:r>
      <w:r w:rsidR="005F3942" w:rsidRP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Nenad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Gršić</w:t>
      </w:r>
      <w:r w:rsidR="005F3942" w:rsidRPr="00CF09FF">
        <w:rPr>
          <w:rFonts w:ascii="Times New Roman" w:hAnsi="Times New Roman"/>
          <w:sz w:val="23"/>
          <w:szCs w:val="23"/>
        </w:rPr>
        <w:t xml:space="preserve"> 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Donka</w:t>
      </w:r>
      <w:r w:rsidR="005F39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Banović</w:t>
      </w:r>
      <w:r w:rsidR="005F3942">
        <w:rPr>
          <w:rFonts w:ascii="Times New Roman" w:hAnsi="Times New Roman"/>
          <w:sz w:val="23"/>
          <w:szCs w:val="23"/>
        </w:rPr>
        <w:t>.</w:t>
      </w:r>
    </w:p>
    <w:p w:rsidR="005F3942" w:rsidRPr="00CF09FF" w:rsidRDefault="005F3942" w:rsidP="00E602BE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806C7C" w:rsidRPr="00806C7C" w:rsidRDefault="002B3021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Style w:val="colornavy"/>
          <w:rFonts w:ascii="Times New Roman" w:hAnsi="Times New Roman" w:cs="Times New Roman"/>
          <w:sz w:val="23"/>
          <w:szCs w:val="23"/>
        </w:rPr>
        <w:t>Pre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prelaska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na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rad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po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utvrđenim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tačkama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dnevnog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reda</w:t>
      </w:r>
      <w:r w:rsidR="00E602BE" w:rsidRPr="00806C7C">
        <w:rPr>
          <w:rStyle w:val="colornavy"/>
          <w:rFonts w:ascii="Times New Roman" w:hAnsi="Times New Roman" w:cs="Times New Roman"/>
          <w:sz w:val="23"/>
          <w:szCs w:val="23"/>
        </w:rPr>
        <w:t>,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podsetio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održavanjem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Donjem</w:t>
      </w:r>
      <w:r w:rsidR="005F3942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Milanovcu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odnosno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van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sedišta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ispunjava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obaveza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proizilazi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Akcionog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plana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sprovođenje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vladinog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Programa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reforme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upravljanja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javnim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finansijama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obaveza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ovaj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razmotri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izveštaje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DRI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obavljenim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revizijama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pojedinih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korisnika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="00E602BE" w:rsidRPr="00806C7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06C7C" w:rsidRPr="00FA0AA6" w:rsidRDefault="002B3021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Na</w:t>
      </w:r>
      <w:r w:rsidR="00806C7C" w:rsidRPr="00FA0A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predlog</w:t>
      </w:r>
      <w:r w:rsidR="00806C7C" w:rsidRPr="00FA0A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predsednika</w:t>
      </w:r>
      <w:r w:rsidR="00806C7C" w:rsidRPr="00FA0AA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Odbor</w:t>
      </w:r>
      <w:r w:rsidR="00806C7C" w:rsidRPr="00FA0A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806C7C" w:rsidRPr="00FA0A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jednoglasno</w:t>
      </w:r>
      <w:r w:rsidR="00806C7C" w:rsidRPr="00FA0A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06C7C" w:rsidRPr="00FA0AA6">
        <w:rPr>
          <w:rFonts w:ascii="Times New Roman" w:hAnsi="Times New Roman" w:cs="Times New Roman"/>
          <w:bCs/>
          <w:sz w:val="23"/>
          <w:szCs w:val="23"/>
        </w:rPr>
        <w:t>(</w:t>
      </w:r>
      <w:r w:rsidR="00806C7C" w:rsidRPr="00FA0AA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11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glasova</w:t>
      </w:r>
      <w:r w:rsidR="00806C7C" w:rsidRPr="00FA0AA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</w:t>
      </w:r>
      <w:r w:rsidR="00806C7C" w:rsidRPr="00FA0AA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)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odlučio</w:t>
      </w:r>
      <w:r w:rsid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dnevni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red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dopuni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tačkom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dnevnog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reda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koja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će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razmatrati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kao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peta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tačka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dnevnog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reda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koja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glasi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: 5. </w:t>
      </w:r>
      <w:r>
        <w:rPr>
          <w:rFonts w:ascii="Times New Roman" w:hAnsi="Times New Roman" w:cs="Times New Roman"/>
          <w:sz w:val="23"/>
          <w:szCs w:val="23"/>
          <w:lang w:val="sr-Cyrl-CS"/>
        </w:rPr>
        <w:t>Donošenje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organizovanju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javnog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slušanja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temu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: „ </w:t>
      </w:r>
      <w:r>
        <w:rPr>
          <w:rFonts w:ascii="Times New Roman" w:hAnsi="Times New Roman" w:cs="Times New Roman"/>
          <w:sz w:val="23"/>
          <w:szCs w:val="23"/>
          <w:lang w:val="sr-Cyrl-CS"/>
        </w:rPr>
        <w:t>Predstavljanje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Predloga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zakona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budžetu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Republike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Srbije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2024. </w:t>
      </w:r>
      <w:r>
        <w:rPr>
          <w:rFonts w:ascii="Times New Roman" w:hAnsi="Times New Roman" w:cs="Times New Roman"/>
          <w:sz w:val="23"/>
          <w:szCs w:val="23"/>
          <w:lang w:val="sr-Cyrl-CS"/>
        </w:rPr>
        <w:t>godinu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Predloga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zakona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završnom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računu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budžeta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Republike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Srbije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2022. </w:t>
      </w:r>
      <w:r>
        <w:rPr>
          <w:rFonts w:ascii="Times New Roman" w:hAnsi="Times New Roman" w:cs="Times New Roman"/>
          <w:sz w:val="23"/>
          <w:szCs w:val="23"/>
          <w:lang w:val="sr-Cyrl-CS"/>
        </w:rPr>
        <w:t>godinu</w:t>
      </w:r>
      <w:r w:rsidR="00806C7C"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.“ </w:t>
      </w:r>
    </w:p>
    <w:p w:rsidR="002A2FD5" w:rsidRPr="002A2FD5" w:rsidRDefault="002A2FD5" w:rsidP="002A2FD5">
      <w:pPr>
        <w:tabs>
          <w:tab w:val="left" w:pos="993"/>
          <w:tab w:val="left" w:pos="6150"/>
        </w:tabs>
        <w:jc w:val="both"/>
        <w:rPr>
          <w:rFonts w:ascii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sr-Cyrl-CS"/>
        </w:rPr>
        <w:tab/>
      </w:r>
      <w:r w:rsidR="002B3021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2A2FD5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predlog</w:t>
      </w:r>
      <w:r w:rsidRPr="002A2FD5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predsednika</w:t>
      </w:r>
      <w:r w:rsidRPr="002A2FD5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,</w:t>
      </w:r>
      <w:r w:rsidRPr="002A2FD5">
        <w:rPr>
          <w:rFonts w:ascii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</w:rPr>
        <w:t>jednoglasno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)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utvrdio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sledeći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dnevni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red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celini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Pr="002A2FD5">
        <w:rPr>
          <w:rFonts w:ascii="Times New Roman" w:hAnsi="Times New Roman" w:cs="Times New Roman"/>
          <w:sz w:val="23"/>
          <w:szCs w:val="23"/>
          <w:lang w:val="sr-Cyrl-CS" w:eastAsia="en-GB"/>
        </w:rPr>
        <w:t xml:space="preserve"> </w:t>
      </w:r>
    </w:p>
    <w:p w:rsidR="00FA0AA6" w:rsidRPr="00CF09FF" w:rsidRDefault="00FA0AA6" w:rsidP="00FA0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A0AA6" w:rsidRPr="00CF09FF" w:rsidRDefault="002B3021" w:rsidP="00FA0AA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D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e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v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i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r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e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d</w:t>
      </w:r>
      <w:r w:rsidR="00FA0AA6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: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1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Predstavljanje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r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evizorskih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korisnika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javnih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sredstava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-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opština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Majdanpek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: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-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pravilnosti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poslovanja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opštine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Majdanpek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delu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koji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odnosi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na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javne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nabavke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2019.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2020.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dotacije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nevladinim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organizacijama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2020.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,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kod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direktnih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korisnika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budžetskih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sredstava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(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broj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400-2450/21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od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 xml:space="preserve">24.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decembra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 xml:space="preserve"> 2021.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godine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)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;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-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svrsishodnosti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poslovanja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– „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Upravljanje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nacionalnim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parkovima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Republici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Srbiji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“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2021.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(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broj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400-2306/21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od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13.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decembra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2021.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);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-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finansijskih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Javnog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komunalnog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preduzeća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proizvodnju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distribuciju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toplotne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energije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„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Majdanpek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“,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Majdanpek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2018.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(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broj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400-2398/19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od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septembra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2019.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);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 xml:space="preserve">2.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Razmatranje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objedinjenog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revizijama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pravilnosti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svrsishodnosti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poslovanja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– „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Pravilnost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efikasnost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postupaka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javnih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nabavki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ustanovama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učeničkog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standarda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“ (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broj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400-1184/23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od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16.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juna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2023.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);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 xml:space="preserve">3.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Razmatranje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Pododbora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razmatranje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obavljenim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revizijama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Državne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revizorske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institucije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razmatranju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sektorskog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2022.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-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Sektor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broj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3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Državne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revizorske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institucije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preporuka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izmene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važećih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zakona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na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osnovu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informacija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kojih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došlo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postupku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obavljanja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;</w:t>
      </w:r>
    </w:p>
    <w:p w:rsidR="00FA0AA6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 xml:space="preserve">4.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Razmatranje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Pododbora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razmatranje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obavljenim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revizijama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Državne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revizorske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institucije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razmatranju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sektorskog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2022.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godinu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-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Sektor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broj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4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Državne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revizorske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institucije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preporuka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izmene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važećih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zakona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na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osnovu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informacija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kojih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došlo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postupku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obavljanja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revizije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. 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5.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Donošenje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Odluke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organizovanju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javnog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slušanja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temu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: „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Predstavljanje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Predloga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zakona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budžetu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Republike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Srbije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2024.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godinu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Predloga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zakona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završnom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računu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budžeta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Republike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Srbije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2022. </w:t>
      </w:r>
      <w:r w:rsidR="002B3021">
        <w:rPr>
          <w:rFonts w:ascii="Times New Roman" w:hAnsi="Times New Roman" w:cs="Times New Roman"/>
          <w:sz w:val="23"/>
          <w:szCs w:val="23"/>
          <w:lang w:val="sr-Cyrl-CS"/>
        </w:rPr>
        <w:t>godinu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>.“</w:t>
      </w:r>
    </w:p>
    <w:p w:rsidR="008C3253" w:rsidRPr="008C3253" w:rsidRDefault="002B3021" w:rsidP="008C325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Style w:val="colornavy"/>
          <w:rFonts w:ascii="Times New Roman" w:hAnsi="Times New Roman" w:cs="Times New Roman"/>
          <w:sz w:val="23"/>
          <w:szCs w:val="23"/>
        </w:rPr>
        <w:t>Pre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prelaska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na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rad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po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utvrđenim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tačkama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dnevnog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reda</w:t>
      </w:r>
      <w:r w:rsidR="00FA0AA6" w:rsidRPr="00806C7C">
        <w:rPr>
          <w:rStyle w:val="colornavy"/>
          <w:rFonts w:ascii="Times New Roman" w:hAnsi="Times New Roman" w:cs="Times New Roman"/>
          <w:sz w:val="23"/>
          <w:szCs w:val="23"/>
        </w:rPr>
        <w:t>,</w:t>
      </w:r>
      <w:r w:rsidR="00F27F65" w:rsidRPr="00F27F6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</w:t>
      </w:r>
      <w:r w:rsidR="00F27F65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F27F65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jednoglasno</w:t>
      </w:r>
      <w:r w:rsidR="00F27F65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27F65" w:rsidRPr="00CF09FF">
        <w:rPr>
          <w:rFonts w:ascii="Times New Roman" w:hAnsi="Times New Roman" w:cs="Times New Roman"/>
          <w:bCs/>
          <w:sz w:val="23"/>
          <w:szCs w:val="23"/>
        </w:rPr>
        <w:t>(</w:t>
      </w:r>
      <w:r w:rsidR="00F27F6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11</w:t>
      </w:r>
      <w:r w:rsidR="00F27F65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glasova</w:t>
      </w:r>
      <w:r w:rsidR="00F27F65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</w:t>
      </w:r>
      <w:r w:rsidR="00F27F65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)</w:t>
      </w:r>
      <w:r w:rsidR="009B2C6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usvojio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Zapisnik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sa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35.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sednice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Odbora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bez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primedbi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</w:p>
    <w:p w:rsidR="00F27F65" w:rsidRPr="00F27F65" w:rsidRDefault="00F27F65" w:rsidP="00F27F6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Na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predlog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predsednika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Odbor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jednoglasno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CF09FF">
        <w:rPr>
          <w:rFonts w:ascii="Times New Roman" w:hAnsi="Times New Roman" w:cs="Times New Roman"/>
          <w:bCs/>
          <w:sz w:val="23"/>
          <w:szCs w:val="23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11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glasova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)</w:t>
      </w:r>
      <w:r w:rsidRPr="00F27F6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3021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3021">
        <w:rPr>
          <w:rFonts w:ascii="Times New Roman" w:hAnsi="Times New Roman"/>
          <w:sz w:val="24"/>
          <w:szCs w:val="24"/>
          <w:lang w:val="sr-Cyrl-CS"/>
        </w:rPr>
        <w:t>obavi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3021">
        <w:rPr>
          <w:rFonts w:ascii="Times New Roman" w:hAnsi="Times New Roman"/>
          <w:sz w:val="24"/>
          <w:szCs w:val="24"/>
        </w:rPr>
        <w:t>zajednički</w:t>
      </w:r>
      <w:r>
        <w:rPr>
          <w:rFonts w:ascii="Times New Roman" w:hAnsi="Times New Roman"/>
          <w:sz w:val="24"/>
          <w:szCs w:val="24"/>
        </w:rPr>
        <w:t xml:space="preserve"> </w:t>
      </w:r>
      <w:r w:rsidR="002B3021">
        <w:rPr>
          <w:rFonts w:ascii="Times New Roman" w:hAnsi="Times New Roman"/>
          <w:sz w:val="24"/>
          <w:szCs w:val="24"/>
        </w:rPr>
        <w:t>jedinstveni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2B3021">
        <w:rPr>
          <w:rFonts w:ascii="Times New Roman" w:hAnsi="Times New Roman"/>
          <w:sz w:val="24"/>
          <w:szCs w:val="24"/>
        </w:rPr>
        <w:t>pretres</w:t>
      </w:r>
      <w:r w:rsidRPr="00C64D3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2B3021">
        <w:rPr>
          <w:rFonts w:ascii="Times New Roman" w:hAnsi="Times New Roman"/>
          <w:sz w:val="24"/>
          <w:szCs w:val="24"/>
          <w:lang w:val="sr-Cyrl-CS"/>
        </w:rPr>
        <w:t>o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3021">
        <w:rPr>
          <w:rFonts w:ascii="Times New Roman" w:hAnsi="Times New Roman"/>
          <w:sz w:val="24"/>
          <w:szCs w:val="24"/>
          <w:lang w:val="sr-Cyrl-CS"/>
        </w:rPr>
        <w:t>tačkama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B3021">
        <w:rPr>
          <w:rFonts w:ascii="Times New Roman" w:hAnsi="Times New Roman"/>
          <w:sz w:val="24"/>
          <w:szCs w:val="24"/>
          <w:lang w:val="sr-Cyrl-CS"/>
        </w:rPr>
        <w:t>i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4.  </w:t>
      </w:r>
      <w:r w:rsidR="002B3021"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3021"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602BE" w:rsidRDefault="002B3021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nastavku</w:t>
      </w:r>
      <w:r w:rsidR="00F27F6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sednice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predsednik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Odbora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Veroljub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Arsić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dao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reč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Draganu</w:t>
      </w:r>
      <w:r w:rsidR="005F3942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Popoviću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predsedniku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Opštine</w:t>
      </w:r>
      <w:r w:rsidR="00E602BE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Majdanpek</w:t>
      </w:r>
      <w:r w:rsidR="005F3942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</w:p>
    <w:p w:rsidR="00F27F65" w:rsidRDefault="002B3021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Dragan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Popović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predsednik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Majdanpek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kratkim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crtama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upoznao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članove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Odbora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radom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Majdanpek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Istakao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Majdanpek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zahvaljujući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dolasku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kompanije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Ziđin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poslednjih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pet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godina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povećala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budžet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koji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trenutno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iznosi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nešto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više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od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dve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milijarde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dinara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što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rezultiralo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i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prelazak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opštine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Majdanpek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iz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četvrte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drugu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grupu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razvijenosti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opština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Srbiji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Takođe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posle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Beograda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Bora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i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Novog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Sada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opština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Majdanpek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trenutno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zauzima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četvrto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mesto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visini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prosečnih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primanja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  <w:r w:rsidR="00A644B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</w:p>
    <w:p w:rsidR="006A4FB3" w:rsidRPr="00CF09FF" w:rsidRDefault="006A4FB3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5F3942" w:rsidRPr="005F3942" w:rsidRDefault="002B3021" w:rsidP="005F394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Prva</w:t>
      </w:r>
      <w:r w:rsidR="00E602BE" w:rsidRPr="005D3695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tačka</w:t>
      </w:r>
      <w:r w:rsidR="00E602BE" w:rsidRPr="005D3695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dnevnog</w:t>
      </w:r>
      <w:r w:rsidR="00E602BE" w:rsidRPr="005D3695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reda</w:t>
      </w:r>
      <w:r w:rsidR="00E602BE" w:rsidRPr="005D3695">
        <w:rPr>
          <w:rFonts w:ascii="Times New Roman" w:hAnsi="Times New Roman" w:cs="Times New Roman"/>
          <w:b/>
          <w:bCs/>
          <w:sz w:val="23"/>
          <w:szCs w:val="23"/>
          <w:u w:val="single"/>
        </w:rPr>
        <w:t>:</w:t>
      </w:r>
      <w:r w:rsidR="00E602BE" w:rsidRPr="00CF09F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Predstavljanje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r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evizorskih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korisnika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javnih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sredstava</w:t>
      </w:r>
      <w:r w:rsidR="002A2FD5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-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opština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Majdanpek</w:t>
      </w:r>
    </w:p>
    <w:p w:rsidR="006A4FB3" w:rsidRPr="00CD5543" w:rsidRDefault="002B3021" w:rsidP="00CD5543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sr-Cyrl-CS"/>
        </w:rPr>
        <w:t>Dr</w:t>
      </w:r>
      <w:r w:rsidR="00E602BE" w:rsidRPr="00CD5543">
        <w:rPr>
          <w:rFonts w:ascii="Times New Roman" w:hAnsi="Times New Roman"/>
          <w:sz w:val="23"/>
          <w:szCs w:val="23"/>
          <w:lang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eastAsia="sr-Cyrl-CS"/>
        </w:rPr>
        <w:t>Duško</w:t>
      </w:r>
      <w:r w:rsidR="00E602BE" w:rsidRPr="00CD5543">
        <w:rPr>
          <w:rFonts w:ascii="Times New Roman" w:hAnsi="Times New Roman"/>
          <w:sz w:val="23"/>
          <w:szCs w:val="23"/>
          <w:lang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eastAsia="sr-Cyrl-CS"/>
        </w:rPr>
        <w:t>Pejović</w:t>
      </w:r>
      <w:r w:rsidR="00E602BE" w:rsidRPr="00CD5543">
        <w:rPr>
          <w:rFonts w:ascii="Times New Roman" w:hAnsi="Times New Roman"/>
          <w:sz w:val="23"/>
          <w:szCs w:val="23"/>
          <w:lang w:eastAsia="sr-Cyrl-CS"/>
        </w:rPr>
        <w:t>,</w:t>
      </w:r>
      <w:r w:rsidR="00E602BE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predsednik</w:t>
      </w:r>
      <w:r w:rsidR="00E602BE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Saveta</w:t>
      </w:r>
      <w:r w:rsidR="00E602BE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DRI</w:t>
      </w:r>
      <w:r w:rsidR="00E602BE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generalni</w:t>
      </w:r>
      <w:r w:rsidR="00E602BE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602BE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602BE" w:rsidRPr="00CD5543">
        <w:rPr>
          <w:rFonts w:ascii="Times New Roman" w:hAnsi="Times New Roman"/>
          <w:sz w:val="23"/>
          <w:szCs w:val="23"/>
        </w:rPr>
        <w:t>,</w:t>
      </w:r>
      <w:r w:rsidR="00E602BE" w:rsidRPr="00CD5543">
        <w:rPr>
          <w:rFonts w:ascii="Times New Roman" w:hAnsi="Times New Roman"/>
          <w:sz w:val="23"/>
          <w:szCs w:val="23"/>
          <w:lang w:eastAsia="sr-Cyrl-CS"/>
        </w:rPr>
        <w:t xml:space="preserve"> </w:t>
      </w:r>
      <w:r>
        <w:rPr>
          <w:rFonts w:ascii="Times New Roman" w:hAnsi="Times New Roman"/>
          <w:sz w:val="23"/>
          <w:szCs w:val="23"/>
        </w:rPr>
        <w:t>predstavio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reviziji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Opštine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Majdanpek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delu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koji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odnosi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javne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lastRenderedPageBreak/>
        <w:t>nabavke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6A4FB3" w:rsidRPr="00CD5543">
        <w:rPr>
          <w:rFonts w:ascii="Times New Roman" w:hAnsi="Times New Roman"/>
          <w:sz w:val="23"/>
          <w:szCs w:val="23"/>
        </w:rPr>
        <w:t xml:space="preserve"> 2019. </w:t>
      </w:r>
      <w:r>
        <w:rPr>
          <w:rFonts w:ascii="Times New Roman" w:hAnsi="Times New Roman"/>
          <w:sz w:val="23"/>
          <w:szCs w:val="23"/>
        </w:rPr>
        <w:t>i</w:t>
      </w:r>
      <w:r w:rsidR="006A4FB3" w:rsidRPr="00CD5543">
        <w:rPr>
          <w:rFonts w:ascii="Times New Roman" w:hAnsi="Times New Roman"/>
          <w:sz w:val="23"/>
          <w:szCs w:val="23"/>
        </w:rPr>
        <w:t xml:space="preserve"> 2020. </w:t>
      </w:r>
      <w:r>
        <w:rPr>
          <w:rFonts w:ascii="Times New Roman" w:hAnsi="Times New Roman"/>
          <w:sz w:val="23"/>
          <w:szCs w:val="23"/>
        </w:rPr>
        <w:t>godinu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dotacije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nevladinim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organizacijama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6A4FB3" w:rsidRPr="00CD5543">
        <w:rPr>
          <w:rFonts w:ascii="Times New Roman" w:hAnsi="Times New Roman"/>
          <w:sz w:val="23"/>
          <w:szCs w:val="23"/>
        </w:rPr>
        <w:t xml:space="preserve"> 2020. </w:t>
      </w:r>
      <w:r>
        <w:rPr>
          <w:rFonts w:ascii="Times New Roman" w:hAnsi="Times New Roman"/>
          <w:sz w:val="23"/>
          <w:szCs w:val="23"/>
        </w:rPr>
        <w:t>godinu</w:t>
      </w:r>
      <w:r w:rsidR="006A4FB3" w:rsidRPr="00CD5543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kod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direktnih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korisnika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budžetskih</w:t>
      </w:r>
      <w:r w:rsidR="006A4FB3" w:rsidRPr="00CD554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6A4FB3" w:rsidRPr="00CD5543">
        <w:rPr>
          <w:rFonts w:ascii="Times New Roman" w:hAnsi="Times New Roman"/>
          <w:sz w:val="23"/>
          <w:szCs w:val="23"/>
        </w:rPr>
        <w:t>.</w:t>
      </w:r>
    </w:p>
    <w:p w:rsidR="00CD5543" w:rsidRPr="00CD5543" w:rsidRDefault="00E602BE" w:rsidP="00CD5543">
      <w:pPr>
        <w:pStyle w:val="NoSpacing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D554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CD5543">
        <w:rPr>
          <w:rFonts w:ascii="Times New Roman" w:hAnsi="Times New Roman"/>
          <w:color w:val="FF0000"/>
          <w:sz w:val="23"/>
          <w:szCs w:val="23"/>
        </w:rPr>
        <w:tab/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Predstavljajući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ovaj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izveštaj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naglasio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su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Opštini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Majdanpek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postupku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revizije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pravilnosti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poslovanja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delu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koji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odnosi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javne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nabavke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D5543">
        <w:rPr>
          <w:rFonts w:ascii="Times New Roman" w:hAnsi="Times New Roman"/>
          <w:color w:val="000000" w:themeColor="text1"/>
          <w:sz w:val="23"/>
          <w:szCs w:val="23"/>
        </w:rPr>
        <w:t>,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utvrđene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sledeće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nepravilnosti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izvršena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nabavk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dobara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radova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usluga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vrednosti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15,4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miliona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dinara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bez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prethodno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sprovedenog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postupka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javne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nabavke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;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utvrđene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nepravilnosti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prilikom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sprovođenja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postupka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javnih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nabavki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čija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ugovorena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vrednost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iznosi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538,3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miliona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dinara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kao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opština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izvršila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rashode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ime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dotacija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nevladinim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organizacijama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iznosu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1,5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miliona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dinara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suprotno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zakonskim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propisima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internim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aktima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utvrđene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nepravilnosti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su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d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ate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ukupno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24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preporuke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čega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10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prvog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prioriteta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14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drugog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prioriteta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gde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svih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10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prvog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prioriteta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postupljeno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dok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kod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drugog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prioriteta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postupljeno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12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datih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,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jednoj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preporuci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  <w:lang w:val="sr-Cyrl-RS"/>
        </w:rPr>
        <w:t>je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delimično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postupljeno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jednoj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nije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postupljeno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B3021">
        <w:rPr>
          <w:rFonts w:ascii="Times New Roman" w:hAnsi="Times New Roman"/>
          <w:color w:val="000000" w:themeColor="text1"/>
          <w:sz w:val="23"/>
          <w:szCs w:val="23"/>
        </w:rPr>
        <w:t>uopšte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2A2FD5" w:rsidRPr="002A2FD5" w:rsidRDefault="002B3021" w:rsidP="002A2FD5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U</w:t>
      </w:r>
      <w:r w:rsidR="005D3695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nastavku</w:t>
      </w:r>
      <w:r w:rsidR="005D3695" w:rsidRPr="002A2FD5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predsednik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Saveta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DRI</w:t>
      </w:r>
      <w:r w:rsidR="005D3695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5D3695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generalni</w:t>
      </w:r>
      <w:r w:rsidR="005D3695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5D3695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5D3695" w:rsidRPr="002A2FD5">
        <w:rPr>
          <w:rFonts w:ascii="Times New Roman" w:hAnsi="Times New Roman"/>
          <w:sz w:val="23"/>
          <w:szCs w:val="23"/>
        </w:rPr>
        <w:t>,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predstavio</w:t>
      </w:r>
      <w:r w:rsidR="005D3695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</w:rPr>
        <w:t>zveštaj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reviziji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svrsishodnosti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374522" w:rsidRPr="002A2FD5">
        <w:rPr>
          <w:rFonts w:ascii="Times New Roman" w:hAnsi="Times New Roman"/>
          <w:sz w:val="23"/>
          <w:szCs w:val="23"/>
        </w:rPr>
        <w:t xml:space="preserve"> „</w:t>
      </w:r>
      <w:r>
        <w:rPr>
          <w:rFonts w:ascii="Times New Roman" w:hAnsi="Times New Roman"/>
          <w:sz w:val="23"/>
          <w:szCs w:val="23"/>
        </w:rPr>
        <w:t>Upravljanje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nacionalnim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parkovima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Republici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Srbiji</w:t>
      </w:r>
      <w:r w:rsidR="00374522" w:rsidRPr="002A2FD5">
        <w:rPr>
          <w:rFonts w:ascii="Times New Roman" w:hAnsi="Times New Roman"/>
          <w:sz w:val="23"/>
          <w:szCs w:val="23"/>
        </w:rPr>
        <w:t xml:space="preserve">“ </w:t>
      </w:r>
      <w:r>
        <w:rPr>
          <w:rFonts w:ascii="Times New Roman" w:hAnsi="Times New Roman"/>
          <w:sz w:val="23"/>
          <w:szCs w:val="23"/>
        </w:rPr>
        <w:t>iz</w:t>
      </w:r>
      <w:r w:rsidR="00374522" w:rsidRPr="002A2FD5">
        <w:rPr>
          <w:rFonts w:ascii="Times New Roman" w:hAnsi="Times New Roman"/>
          <w:sz w:val="23"/>
          <w:szCs w:val="23"/>
        </w:rPr>
        <w:t xml:space="preserve"> 2021. </w:t>
      </w:r>
      <w:r>
        <w:rPr>
          <w:rFonts w:ascii="Times New Roman" w:hAnsi="Times New Roman"/>
          <w:sz w:val="23"/>
          <w:szCs w:val="23"/>
        </w:rPr>
        <w:t>godine</w:t>
      </w:r>
      <w:r w:rsidR="00374522" w:rsidRPr="002A2FD5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kao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reviziji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finansijskih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Javnog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komunalnog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preduzeća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proizvodnju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distribuciju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toplotne</w:t>
      </w:r>
      <w:r w:rsidR="00374522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energije</w:t>
      </w:r>
      <w:r w:rsidR="00374522" w:rsidRPr="002A2FD5">
        <w:rPr>
          <w:rFonts w:ascii="Times New Roman" w:hAnsi="Times New Roman"/>
          <w:sz w:val="23"/>
          <w:szCs w:val="23"/>
        </w:rPr>
        <w:t xml:space="preserve"> „</w:t>
      </w:r>
      <w:r>
        <w:rPr>
          <w:rFonts w:ascii="Times New Roman" w:hAnsi="Times New Roman"/>
          <w:sz w:val="23"/>
          <w:szCs w:val="23"/>
        </w:rPr>
        <w:t>Majdanpek</w:t>
      </w:r>
      <w:r w:rsidR="00374522" w:rsidRPr="002A2FD5">
        <w:rPr>
          <w:rFonts w:ascii="Times New Roman" w:hAnsi="Times New Roman"/>
          <w:sz w:val="23"/>
          <w:szCs w:val="23"/>
        </w:rPr>
        <w:t xml:space="preserve">“, </w:t>
      </w:r>
      <w:r>
        <w:rPr>
          <w:rFonts w:ascii="Times New Roman" w:hAnsi="Times New Roman"/>
          <w:sz w:val="23"/>
          <w:szCs w:val="23"/>
        </w:rPr>
        <w:t>Majdanpek</w:t>
      </w:r>
      <w:r w:rsidR="00374522" w:rsidRPr="002A2FD5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za</w:t>
      </w:r>
      <w:r w:rsidR="00374522" w:rsidRPr="002A2FD5">
        <w:rPr>
          <w:rFonts w:ascii="Times New Roman" w:hAnsi="Times New Roman"/>
          <w:sz w:val="23"/>
          <w:szCs w:val="23"/>
        </w:rPr>
        <w:t xml:space="preserve"> 2018. </w:t>
      </w:r>
      <w:r>
        <w:rPr>
          <w:rFonts w:ascii="Times New Roman" w:hAnsi="Times New Roman"/>
          <w:sz w:val="23"/>
          <w:szCs w:val="23"/>
        </w:rPr>
        <w:t>godinu</w:t>
      </w:r>
      <w:r w:rsidR="00374522" w:rsidRPr="002A2FD5">
        <w:rPr>
          <w:rFonts w:ascii="Times New Roman" w:hAnsi="Times New Roman"/>
          <w:sz w:val="23"/>
          <w:szCs w:val="23"/>
        </w:rPr>
        <w:t>.</w:t>
      </w:r>
    </w:p>
    <w:p w:rsidR="00422E0C" w:rsidRPr="002A2FD5" w:rsidRDefault="002B3021" w:rsidP="002A2FD5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Predstavljajući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svrsishodnosti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422E0C" w:rsidRPr="002A2FD5">
        <w:rPr>
          <w:rFonts w:ascii="Times New Roman" w:hAnsi="Times New Roman"/>
          <w:sz w:val="23"/>
          <w:szCs w:val="23"/>
        </w:rPr>
        <w:t xml:space="preserve"> „</w:t>
      </w:r>
      <w:r>
        <w:rPr>
          <w:rFonts w:ascii="Times New Roman" w:hAnsi="Times New Roman"/>
          <w:sz w:val="23"/>
          <w:szCs w:val="23"/>
        </w:rPr>
        <w:t>Upravljanje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nacionalnim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parkovima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Republici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Srbiji</w:t>
      </w:r>
      <w:r w:rsidR="00422E0C" w:rsidRPr="002A2FD5">
        <w:rPr>
          <w:rFonts w:ascii="Times New Roman" w:hAnsi="Times New Roman"/>
          <w:sz w:val="23"/>
          <w:szCs w:val="23"/>
        </w:rPr>
        <w:t xml:space="preserve">“ </w:t>
      </w:r>
      <w:r>
        <w:rPr>
          <w:rFonts w:ascii="Times New Roman" w:hAnsi="Times New Roman"/>
          <w:sz w:val="23"/>
          <w:szCs w:val="23"/>
        </w:rPr>
        <w:t>iz</w:t>
      </w:r>
      <w:r w:rsidR="00422E0C" w:rsidRPr="002A2FD5">
        <w:rPr>
          <w:rFonts w:ascii="Times New Roman" w:hAnsi="Times New Roman"/>
          <w:sz w:val="23"/>
          <w:szCs w:val="23"/>
        </w:rPr>
        <w:t xml:space="preserve"> 2021. </w:t>
      </w:r>
      <w:r>
        <w:rPr>
          <w:rFonts w:ascii="Times New Roman" w:hAnsi="Times New Roman"/>
          <w:sz w:val="23"/>
          <w:szCs w:val="23"/>
        </w:rPr>
        <w:t>godine</w:t>
      </w:r>
      <w:r w:rsidR="00422E0C" w:rsidRPr="002A2FD5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dr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Duško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Pejović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istakao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422E0C" w:rsidRPr="002A2FD5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cilj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bio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utvrdi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efikasno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upravlja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nacionalnim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parkovima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Republici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Srbiji</w:t>
      </w:r>
      <w:r w:rsidR="00422E0C" w:rsidRPr="002A2FD5">
        <w:rPr>
          <w:rFonts w:ascii="Times New Roman" w:hAnsi="Times New Roman"/>
          <w:sz w:val="23"/>
          <w:szCs w:val="23"/>
        </w:rPr>
        <w:t>.</w:t>
      </w:r>
      <w:r w:rsidR="00422E0C" w:rsidRPr="002A2FD5">
        <w:rPr>
          <w:rFonts w:ascii="Times New Roman" w:eastAsia="Calibri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Opštini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Majdanpek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JP</w:t>
      </w:r>
      <w:r w:rsidR="00422E0C" w:rsidRPr="002A2FD5">
        <w:rPr>
          <w:rFonts w:ascii="Times New Roman" w:hAnsi="Times New Roman"/>
          <w:sz w:val="23"/>
          <w:szCs w:val="23"/>
        </w:rPr>
        <w:t xml:space="preserve"> „</w:t>
      </w:r>
      <w:r>
        <w:rPr>
          <w:rFonts w:ascii="Times New Roman" w:hAnsi="Times New Roman"/>
          <w:sz w:val="23"/>
          <w:szCs w:val="23"/>
        </w:rPr>
        <w:t>Nacionalni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park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Đerdap</w:t>
      </w:r>
      <w:r w:rsidR="00422E0C" w:rsidRPr="002A2FD5">
        <w:rPr>
          <w:rFonts w:ascii="Times New Roman" w:hAnsi="Times New Roman"/>
          <w:sz w:val="23"/>
          <w:szCs w:val="23"/>
        </w:rPr>
        <w:t xml:space="preserve">“ </w:t>
      </w:r>
      <w:r>
        <w:rPr>
          <w:rFonts w:ascii="Times New Roman" w:hAnsi="Times New Roman"/>
          <w:sz w:val="23"/>
          <w:szCs w:val="23"/>
        </w:rPr>
        <w:t>date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četiri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preporuke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ključna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poruka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422E0C" w:rsidRPr="002A2FD5">
        <w:rPr>
          <w:rFonts w:ascii="Times New Roman" w:eastAsia="+mn-e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potrebno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unaprediti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sistem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upravljanja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nacionalnim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parkovima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kroz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efikasniji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rad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čuvarske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službe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nadležnih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inspekcija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kao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kroz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bolju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koordinaciju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saradnju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nadležnih</w:t>
      </w:r>
      <w:r w:rsidR="00422E0C" w:rsidRPr="002A2F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subjekata</w:t>
      </w:r>
      <w:r w:rsidR="00422E0C" w:rsidRPr="002A2FD5">
        <w:rPr>
          <w:rFonts w:ascii="Times New Roman" w:hAnsi="Times New Roman"/>
          <w:sz w:val="23"/>
          <w:szCs w:val="23"/>
        </w:rPr>
        <w:t>.</w:t>
      </w:r>
    </w:p>
    <w:p w:rsidR="00591427" w:rsidRDefault="002B3021" w:rsidP="002A2FD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Predstavljajući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reviziji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finansijskih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Javnog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komunalnog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preduzeća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proizvodnju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distribuciju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toplotne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energije</w:t>
      </w:r>
      <w:r w:rsidR="007346CB" w:rsidRPr="007346CB">
        <w:rPr>
          <w:rFonts w:ascii="Times New Roman" w:hAnsi="Times New Roman"/>
          <w:sz w:val="23"/>
          <w:szCs w:val="23"/>
        </w:rPr>
        <w:t xml:space="preserve"> „</w:t>
      </w:r>
      <w:r>
        <w:rPr>
          <w:rFonts w:ascii="Times New Roman" w:hAnsi="Times New Roman"/>
          <w:sz w:val="23"/>
          <w:szCs w:val="23"/>
        </w:rPr>
        <w:t>Majdanpek</w:t>
      </w:r>
      <w:r w:rsidR="007346CB" w:rsidRPr="007346CB">
        <w:rPr>
          <w:rFonts w:ascii="Times New Roman" w:hAnsi="Times New Roman"/>
          <w:sz w:val="23"/>
          <w:szCs w:val="23"/>
        </w:rPr>
        <w:t xml:space="preserve">“, </w:t>
      </w:r>
      <w:r>
        <w:rPr>
          <w:rFonts w:ascii="Times New Roman" w:hAnsi="Times New Roman"/>
          <w:sz w:val="23"/>
          <w:szCs w:val="23"/>
        </w:rPr>
        <w:t>Majdanpek</w:t>
      </w:r>
      <w:r w:rsidR="007346CB" w:rsidRPr="007346CB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za</w:t>
      </w:r>
      <w:r w:rsidR="007346CB" w:rsidRPr="007346CB">
        <w:rPr>
          <w:rFonts w:ascii="Times New Roman" w:hAnsi="Times New Roman"/>
          <w:sz w:val="23"/>
          <w:szCs w:val="23"/>
        </w:rPr>
        <w:t xml:space="preserve"> 2018. </w:t>
      </w:r>
      <w:r>
        <w:rPr>
          <w:rFonts w:ascii="Times New Roman" w:hAnsi="Times New Roman"/>
          <w:sz w:val="23"/>
          <w:szCs w:val="23"/>
        </w:rPr>
        <w:t>godinu</w:t>
      </w:r>
      <w:r w:rsidR="007346CB" w:rsidRPr="007346CB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generalni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rekao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finansijskim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izveštajima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ovog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preduzeća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dato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mišljenje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7346CB" w:rsidRPr="007346CB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Dato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ukupno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 w:rsidR="007346CB">
        <w:rPr>
          <w:rFonts w:ascii="Times New Roman" w:hAnsi="Times New Roman"/>
          <w:sz w:val="23"/>
          <w:szCs w:val="23"/>
        </w:rPr>
        <w:t>15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preporuka</w:t>
      </w:r>
      <w:r w:rsidR="007346CB" w:rsidRPr="007346CB">
        <w:rPr>
          <w:rFonts w:ascii="Times New Roman" w:hAnsi="Times New Roman"/>
          <w:sz w:val="23"/>
          <w:szCs w:val="23"/>
        </w:rPr>
        <w:t xml:space="preserve">: 8 </w:t>
      </w:r>
      <w:r>
        <w:rPr>
          <w:rFonts w:ascii="Times New Roman" w:hAnsi="Times New Roman"/>
          <w:sz w:val="23"/>
          <w:szCs w:val="23"/>
        </w:rPr>
        <w:t>prvog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prioriteta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7346CB" w:rsidRPr="007346CB">
        <w:rPr>
          <w:rFonts w:ascii="Times New Roman" w:hAnsi="Times New Roman"/>
          <w:sz w:val="23"/>
          <w:szCs w:val="23"/>
        </w:rPr>
        <w:t xml:space="preserve"> 7 </w:t>
      </w:r>
      <w:r>
        <w:rPr>
          <w:rFonts w:ascii="Times New Roman" w:hAnsi="Times New Roman"/>
          <w:sz w:val="23"/>
          <w:szCs w:val="23"/>
        </w:rPr>
        <w:t>drugog</w:t>
      </w:r>
      <w:r w:rsidR="007346CB" w:rsidRPr="007346C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prioriteta</w:t>
      </w:r>
      <w:r w:rsidR="00591427">
        <w:rPr>
          <w:rFonts w:ascii="Times New Roman" w:hAnsi="Times New Roman"/>
          <w:sz w:val="23"/>
          <w:szCs w:val="23"/>
        </w:rPr>
        <w:t>.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Preduzeće</w:t>
      </w:r>
      <w:r w:rsidR="0059142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59142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dostavilo</w:t>
      </w:r>
      <w:r w:rsidR="0059142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odazivni</w:t>
      </w:r>
      <w:r w:rsidR="0059142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izveštaj</w:t>
      </w:r>
      <w:r w:rsidR="0059142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gde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svih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346CB">
        <w:rPr>
          <w:rFonts w:ascii="Times New Roman" w:hAnsi="Times New Roman"/>
          <w:color w:val="000000" w:themeColor="text1"/>
          <w:sz w:val="23"/>
          <w:szCs w:val="23"/>
        </w:rPr>
        <w:t>7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drugog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prioriteta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postupljeno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dok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kod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prvog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prioriteta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postupljeno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346CB">
        <w:rPr>
          <w:rFonts w:ascii="Times New Roman" w:hAnsi="Times New Roman"/>
          <w:color w:val="000000" w:themeColor="text1"/>
          <w:sz w:val="23"/>
          <w:szCs w:val="23"/>
        </w:rPr>
        <w:t>7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datih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preporuka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a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7346CB">
        <w:rPr>
          <w:rFonts w:ascii="Times New Roman" w:hAnsi="Times New Roman"/>
          <w:color w:val="000000" w:themeColor="text1"/>
          <w:sz w:val="23"/>
          <w:szCs w:val="23"/>
        </w:rPr>
        <w:t>1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preporuci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nije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postupljeno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uopšte</w:t>
      </w:r>
      <w:r w:rsidR="007346CB" w:rsidRPr="007346CB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2A2FD5" w:rsidRPr="002A2FD5" w:rsidRDefault="002A2FD5" w:rsidP="002A2FD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</w:p>
    <w:p w:rsidR="00422E0C" w:rsidRDefault="002B3021" w:rsidP="00591427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Diskusije</w:t>
      </w:r>
      <w:r w:rsidR="0059142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</w:t>
      </w:r>
      <w:r w:rsidR="0059142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ovoj</w:t>
      </w:r>
      <w:r w:rsidR="0059142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tački</w:t>
      </w:r>
      <w:r w:rsidR="0059142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dnevnog</w:t>
      </w:r>
      <w:r w:rsidR="0059142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reda</w:t>
      </w:r>
      <w:r w:rsidR="0059142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nije</w:t>
      </w:r>
      <w:r w:rsidR="0059142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bilo</w:t>
      </w:r>
      <w:r w:rsidR="00591427">
        <w:rPr>
          <w:rFonts w:ascii="Times New Roman" w:hAnsi="Times New Roman"/>
          <w:sz w:val="23"/>
          <w:szCs w:val="23"/>
        </w:rPr>
        <w:t>.</w:t>
      </w:r>
    </w:p>
    <w:p w:rsidR="00591427" w:rsidRPr="00591427" w:rsidRDefault="002B3021" w:rsidP="00591427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Druga</w:t>
      </w:r>
      <w:r w:rsidR="00591427" w:rsidRPr="005D3695"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tačka</w:t>
      </w:r>
      <w:r w:rsidR="00591427" w:rsidRPr="005D3695"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dnevnog</w:t>
      </w:r>
      <w:r w:rsidR="00591427" w:rsidRPr="005D3695"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reda</w:t>
      </w:r>
      <w:r w:rsidR="00591427" w:rsidRPr="005D3695">
        <w:rPr>
          <w:rFonts w:ascii="Times New Roman" w:hAnsi="Times New Roman"/>
          <w:b/>
          <w:bCs/>
          <w:sz w:val="23"/>
          <w:szCs w:val="23"/>
          <w:u w:val="single"/>
        </w:rPr>
        <w:t>:</w:t>
      </w:r>
      <w:r w:rsidR="001B009F" w:rsidRPr="001B009F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Razmatranje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objedinjenog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izveštaja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o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revizijama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pravilnosti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i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svrsishodnosti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poslovanja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– „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Pravilnost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i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efikasnost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postupaka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javnih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nabavki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u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ustanovama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učeničkog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standarda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“</w:t>
      </w:r>
    </w:p>
    <w:p w:rsidR="009441B6" w:rsidRPr="002A2FD5" w:rsidRDefault="006A4FB3" w:rsidP="002A2FD5">
      <w:pPr>
        <w:pStyle w:val="NormalWeb"/>
        <w:spacing w:before="0" w:beforeAutospacing="0" w:after="120" w:afterAutospacing="0"/>
        <w:ind w:firstLine="720"/>
        <w:jc w:val="both"/>
        <w:rPr>
          <w:sz w:val="23"/>
          <w:szCs w:val="23"/>
        </w:rPr>
      </w:pPr>
      <w:r>
        <w:t> </w:t>
      </w:r>
      <w:r w:rsidR="002B3021">
        <w:rPr>
          <w:sz w:val="23"/>
          <w:szCs w:val="23"/>
        </w:rPr>
        <w:t>Državni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revizor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Mira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Otović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predstavila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je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Objedinjeni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izveštaj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o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revizijama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pravilnosti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svrsishodnosti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poslovanja</w:t>
      </w:r>
      <w:r w:rsidRPr="002A2FD5">
        <w:rPr>
          <w:sz w:val="23"/>
          <w:szCs w:val="23"/>
        </w:rPr>
        <w:t xml:space="preserve"> – „</w:t>
      </w:r>
      <w:r w:rsidR="002B3021">
        <w:rPr>
          <w:sz w:val="23"/>
          <w:szCs w:val="23"/>
        </w:rPr>
        <w:t>Pravilnost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efikasnost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postupaka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javnih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nabavki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u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ustanovama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učeničkog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standarda</w:t>
      </w:r>
      <w:r w:rsidRPr="002A2FD5">
        <w:rPr>
          <w:sz w:val="23"/>
          <w:szCs w:val="23"/>
        </w:rPr>
        <w:t xml:space="preserve">“, </w:t>
      </w:r>
      <w:r w:rsidR="002B3021">
        <w:rPr>
          <w:sz w:val="23"/>
          <w:szCs w:val="23"/>
        </w:rPr>
        <w:t>koji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je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DRI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objavila</w:t>
      </w:r>
      <w:r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u</w:t>
      </w:r>
      <w:r w:rsidRPr="002A2FD5">
        <w:rPr>
          <w:sz w:val="23"/>
          <w:szCs w:val="23"/>
        </w:rPr>
        <w:t xml:space="preserve"> 2023. </w:t>
      </w:r>
      <w:r w:rsidR="002B3021">
        <w:rPr>
          <w:sz w:val="23"/>
          <w:szCs w:val="23"/>
        </w:rPr>
        <w:t>godini</w:t>
      </w:r>
      <w:r w:rsidRPr="002A2FD5">
        <w:rPr>
          <w:sz w:val="23"/>
          <w:szCs w:val="23"/>
        </w:rPr>
        <w:t>.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Ona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je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istakla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da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je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postupkom</w:t>
      </w:r>
      <w:r w:rsidR="009441B6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revizije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obihvaćno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devet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subjekata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odnosno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domova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učenika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srednjih</w:t>
      </w:r>
      <w:r w:rsidR="001B009F" w:rsidRPr="002A2FD5">
        <w:rPr>
          <w:sz w:val="23"/>
          <w:szCs w:val="23"/>
        </w:rPr>
        <w:t xml:space="preserve"> </w:t>
      </w:r>
      <w:r w:rsidR="002B3021">
        <w:rPr>
          <w:sz w:val="23"/>
          <w:szCs w:val="23"/>
        </w:rPr>
        <w:t>škola</w:t>
      </w:r>
      <w:r w:rsidR="001B009F" w:rsidRPr="002A2FD5">
        <w:rPr>
          <w:sz w:val="23"/>
          <w:szCs w:val="23"/>
        </w:rPr>
        <w:t>.</w:t>
      </w:r>
      <w:r w:rsidR="001B009F" w:rsidRPr="002A2FD5">
        <w:rPr>
          <w:rFonts w:eastAsia="+mn-ea"/>
          <w:bCs/>
          <w:color w:val="1C3668"/>
          <w:kern w:val="24"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Gotovo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svi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domovi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učenika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srednjih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škola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su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u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cilju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obezbeđivanja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veće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konkurencije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u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postupcima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JN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oblikovali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predmet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nabavke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po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partijama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za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standardne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nabavne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kategorije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koje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nabavljaju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svake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godine</w:t>
      </w:r>
      <w:r w:rsidR="001B009F" w:rsidRPr="002A2FD5">
        <w:rPr>
          <w:bCs/>
          <w:sz w:val="23"/>
          <w:szCs w:val="23"/>
          <w:lang w:val="ru-RU"/>
        </w:rPr>
        <w:t xml:space="preserve"> (</w:t>
      </w:r>
      <w:r w:rsidR="002B3021">
        <w:rPr>
          <w:bCs/>
          <w:sz w:val="23"/>
          <w:szCs w:val="23"/>
          <w:lang w:val="ru-RU"/>
        </w:rPr>
        <w:t>namirnice</w:t>
      </w:r>
      <w:r w:rsidR="001B009F" w:rsidRPr="002A2FD5">
        <w:rPr>
          <w:bCs/>
          <w:sz w:val="23"/>
          <w:szCs w:val="23"/>
          <w:lang w:val="ru-RU"/>
        </w:rPr>
        <w:t xml:space="preserve">, </w:t>
      </w:r>
      <w:r w:rsidR="002B3021">
        <w:rPr>
          <w:bCs/>
          <w:sz w:val="23"/>
          <w:szCs w:val="23"/>
          <w:lang w:val="ru-RU"/>
        </w:rPr>
        <w:t>sredstva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za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održavanje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higijene</w:t>
      </w:r>
      <w:r w:rsidR="001B009F" w:rsidRPr="002A2FD5">
        <w:rPr>
          <w:bCs/>
          <w:sz w:val="23"/>
          <w:szCs w:val="23"/>
          <w:lang w:val="ru-RU"/>
        </w:rPr>
        <w:t xml:space="preserve">, </w:t>
      </w:r>
      <w:r w:rsidR="002B3021">
        <w:rPr>
          <w:bCs/>
          <w:sz w:val="23"/>
          <w:szCs w:val="23"/>
          <w:lang w:val="ru-RU"/>
        </w:rPr>
        <w:t>usluge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tekućeg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održavanja</w:t>
      </w:r>
      <w:r w:rsidR="001B009F" w:rsidRPr="002A2FD5">
        <w:rPr>
          <w:bCs/>
          <w:sz w:val="23"/>
          <w:szCs w:val="23"/>
          <w:lang w:val="ru-RU"/>
        </w:rPr>
        <w:t xml:space="preserve">), </w:t>
      </w:r>
      <w:r w:rsidR="002B3021">
        <w:rPr>
          <w:bCs/>
          <w:sz w:val="23"/>
          <w:szCs w:val="23"/>
          <w:lang w:val="ru-RU"/>
        </w:rPr>
        <w:t>osim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jednog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doma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učenika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koji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nije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oblikovao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nabavku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namirnica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i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usluga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partije</w:t>
      </w:r>
      <w:r w:rsidR="001B009F" w:rsidRPr="002A2FD5">
        <w:rPr>
          <w:bCs/>
          <w:sz w:val="23"/>
          <w:szCs w:val="23"/>
          <w:lang w:val="ru-RU"/>
        </w:rPr>
        <w:t xml:space="preserve">, </w:t>
      </w:r>
      <w:r w:rsidR="002B3021">
        <w:rPr>
          <w:bCs/>
          <w:sz w:val="23"/>
          <w:szCs w:val="23"/>
          <w:lang w:val="ru-RU"/>
        </w:rPr>
        <w:t>što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uticalo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na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obezbeđenje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konkurencije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u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ovim</w:t>
      </w:r>
      <w:r w:rsidR="001B009F" w:rsidRPr="002A2FD5">
        <w:rPr>
          <w:bCs/>
          <w:sz w:val="23"/>
          <w:szCs w:val="23"/>
          <w:lang w:val="ru-RU"/>
        </w:rPr>
        <w:t xml:space="preserve"> </w:t>
      </w:r>
      <w:r w:rsidR="002B3021">
        <w:rPr>
          <w:bCs/>
          <w:sz w:val="23"/>
          <w:szCs w:val="23"/>
          <w:lang w:val="ru-RU"/>
        </w:rPr>
        <w:t>postupcima</w:t>
      </w:r>
      <w:r w:rsidR="009441B6" w:rsidRPr="002A2FD5">
        <w:rPr>
          <w:bCs/>
          <w:sz w:val="23"/>
          <w:szCs w:val="23"/>
          <w:lang w:val="ru-RU"/>
        </w:rPr>
        <w:t xml:space="preserve">. </w:t>
      </w:r>
      <w:r w:rsidR="002B3021">
        <w:rPr>
          <w:bCs/>
          <w:sz w:val="23"/>
          <w:szCs w:val="23"/>
        </w:rPr>
        <w:t>Državna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revizorska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institucija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je</w:t>
      </w:r>
      <w:r w:rsidR="009441B6" w:rsidRPr="002A2FD5">
        <w:rPr>
          <w:bCs/>
          <w:sz w:val="23"/>
          <w:szCs w:val="23"/>
        </w:rPr>
        <w:t xml:space="preserve">, </w:t>
      </w:r>
      <w:r w:rsidR="002B3021">
        <w:rPr>
          <w:bCs/>
          <w:sz w:val="23"/>
          <w:szCs w:val="23"/>
        </w:rPr>
        <w:t>nakon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sprovedene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revizije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pravilnosti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i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svrsishodnosti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poslovanja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u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delu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javnih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nabavki</w:t>
      </w:r>
      <w:r w:rsidR="009441B6" w:rsidRPr="002A2FD5">
        <w:rPr>
          <w:bCs/>
          <w:sz w:val="23"/>
          <w:szCs w:val="23"/>
        </w:rPr>
        <w:t xml:space="preserve">, </w:t>
      </w:r>
      <w:r w:rsidR="002B3021">
        <w:rPr>
          <w:bCs/>
          <w:sz w:val="23"/>
          <w:szCs w:val="23"/>
        </w:rPr>
        <w:t>odgovornim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licima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domova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učenika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srednjih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škola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dala</w:t>
      </w:r>
      <w:r w:rsidR="009441B6" w:rsidRPr="002A2FD5">
        <w:rPr>
          <w:bCs/>
          <w:sz w:val="23"/>
          <w:szCs w:val="23"/>
        </w:rPr>
        <w:t xml:space="preserve"> </w:t>
      </w:r>
      <w:r w:rsidR="002B3021">
        <w:rPr>
          <w:bCs/>
          <w:sz w:val="23"/>
          <w:szCs w:val="23"/>
        </w:rPr>
        <w:t>ukupno</w:t>
      </w:r>
      <w:r w:rsidR="009441B6" w:rsidRPr="002A2FD5">
        <w:rPr>
          <w:bCs/>
          <w:sz w:val="23"/>
          <w:szCs w:val="23"/>
        </w:rPr>
        <w:t xml:space="preserve"> 71 </w:t>
      </w:r>
      <w:r w:rsidR="002B3021">
        <w:rPr>
          <w:bCs/>
          <w:sz w:val="23"/>
          <w:szCs w:val="23"/>
        </w:rPr>
        <w:t>preporuku</w:t>
      </w:r>
      <w:r w:rsidR="009441B6" w:rsidRPr="002A2FD5">
        <w:rPr>
          <w:bCs/>
          <w:sz w:val="23"/>
          <w:szCs w:val="23"/>
        </w:rPr>
        <w:t>.</w:t>
      </w:r>
    </w:p>
    <w:p w:rsidR="009441B6" w:rsidRPr="009441B6" w:rsidRDefault="002B3021" w:rsidP="009441B6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Diskusije</w:t>
      </w:r>
      <w:r w:rsidR="009441B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</w:t>
      </w:r>
      <w:r w:rsidR="009441B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ovoj</w:t>
      </w:r>
      <w:r w:rsidR="009441B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tački</w:t>
      </w:r>
      <w:r w:rsidR="009441B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dnevnog</w:t>
      </w:r>
      <w:r w:rsidR="009441B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reda</w:t>
      </w:r>
      <w:r w:rsidR="009441B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nije</w:t>
      </w:r>
      <w:r w:rsidR="009441B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bilo</w:t>
      </w:r>
      <w:r w:rsidR="009441B6">
        <w:rPr>
          <w:rFonts w:ascii="Times New Roman" w:hAnsi="Times New Roman"/>
          <w:sz w:val="23"/>
          <w:szCs w:val="23"/>
        </w:rPr>
        <w:t>.</w:t>
      </w:r>
    </w:p>
    <w:p w:rsidR="006A4FB3" w:rsidRPr="006A4FB3" w:rsidRDefault="002B3021" w:rsidP="00E602BE">
      <w:pPr>
        <w:pStyle w:val="NormalWeb"/>
        <w:spacing w:before="0" w:beforeAutospacing="0" w:after="120" w:afterAutospacing="0"/>
        <w:ind w:firstLine="720"/>
        <w:jc w:val="both"/>
        <w:rPr>
          <w:rFonts w:eastAsiaTheme="minorEastAsia"/>
          <w:color w:val="000000" w:themeColor="text1"/>
          <w:kern w:val="24"/>
          <w:sz w:val="23"/>
          <w:szCs w:val="23"/>
        </w:rPr>
      </w:pPr>
      <w:r>
        <w:rPr>
          <w:rFonts w:eastAsiaTheme="minorEastAsia"/>
          <w:color w:val="000000" w:themeColor="text1"/>
          <w:kern w:val="24"/>
          <w:sz w:val="23"/>
          <w:szCs w:val="23"/>
        </w:rPr>
        <w:t>Sednica</w:t>
      </w:r>
      <w:r w:rsidR="009441B6">
        <w:rPr>
          <w:rFonts w:eastAsiaTheme="minorEastAsia"/>
          <w:color w:val="000000" w:themeColor="text1"/>
          <w:kern w:val="24"/>
          <w:sz w:val="23"/>
          <w:szCs w:val="23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</w:rPr>
        <w:t>je</w:t>
      </w:r>
      <w:r w:rsidR="009441B6">
        <w:rPr>
          <w:rFonts w:eastAsiaTheme="minorEastAsia"/>
          <w:color w:val="000000" w:themeColor="text1"/>
          <w:kern w:val="24"/>
          <w:sz w:val="23"/>
          <w:szCs w:val="23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</w:rPr>
        <w:t>prekinuta</w:t>
      </w:r>
      <w:r w:rsidR="009441B6">
        <w:rPr>
          <w:rFonts w:eastAsiaTheme="minorEastAsia"/>
          <w:color w:val="000000" w:themeColor="text1"/>
          <w:kern w:val="24"/>
          <w:sz w:val="23"/>
          <w:szCs w:val="23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</w:rPr>
        <w:t>u</w:t>
      </w:r>
      <w:r w:rsidR="009441B6">
        <w:rPr>
          <w:rFonts w:eastAsiaTheme="minorEastAsia"/>
          <w:color w:val="000000" w:themeColor="text1"/>
          <w:kern w:val="24"/>
          <w:sz w:val="23"/>
          <w:szCs w:val="23"/>
        </w:rPr>
        <w:t xml:space="preserve"> 13,55 </w:t>
      </w:r>
      <w:r>
        <w:rPr>
          <w:rFonts w:eastAsiaTheme="minorEastAsia"/>
          <w:color w:val="000000" w:themeColor="text1"/>
          <w:kern w:val="24"/>
          <w:sz w:val="23"/>
          <w:szCs w:val="23"/>
        </w:rPr>
        <w:t>časova</w:t>
      </w:r>
    </w:p>
    <w:p w:rsidR="00E602BE" w:rsidRPr="00CF09FF" w:rsidRDefault="00E602BE" w:rsidP="00E602BE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  <w:lang w:val="en-GB" w:eastAsia="sr-Cyrl-CS"/>
        </w:rPr>
        <w:t> </w:t>
      </w:r>
    </w:p>
    <w:p w:rsidR="00ED00E3" w:rsidRPr="00ED00E3" w:rsidRDefault="00E602BE" w:rsidP="00ED00E3">
      <w:pPr>
        <w:pStyle w:val="NoSpacing"/>
        <w:spacing w:after="240"/>
        <w:jc w:val="center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 w:rsidRPr="00CF09FF">
        <w:rPr>
          <w:rFonts w:ascii="Times New Roman" w:hAnsi="Times New Roman"/>
          <w:color w:val="000000" w:themeColor="text1"/>
          <w:sz w:val="23"/>
          <w:szCs w:val="23"/>
        </w:rPr>
        <w:lastRenderedPageBreak/>
        <w:t>*  *  *</w:t>
      </w:r>
    </w:p>
    <w:p w:rsidR="00ED00E3" w:rsidRDefault="00ED00E3" w:rsidP="002A2FD5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5D3695" w:rsidRDefault="002B3021" w:rsidP="002A2FD5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Drugog</w:t>
      </w:r>
      <w:r w:rsidR="005D36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dana</w:t>
      </w:r>
      <w:r w:rsidR="005D3695">
        <w:rPr>
          <w:rFonts w:ascii="Times New Roman" w:hAnsi="Times New Roman" w:cs="Times New Roman"/>
          <w:sz w:val="23"/>
          <w:szCs w:val="23"/>
        </w:rPr>
        <w:t>, 17.</w:t>
      </w:r>
      <w:r>
        <w:rPr>
          <w:rFonts w:ascii="Times New Roman" w:hAnsi="Times New Roman" w:cs="Times New Roman"/>
          <w:sz w:val="23"/>
          <w:szCs w:val="23"/>
        </w:rPr>
        <w:t>oktobra</w:t>
      </w:r>
      <w:r w:rsidR="005D3695">
        <w:rPr>
          <w:rFonts w:ascii="Times New Roman" w:hAnsi="Times New Roman" w:cs="Times New Roman"/>
          <w:sz w:val="23"/>
          <w:szCs w:val="23"/>
        </w:rPr>
        <w:t xml:space="preserve"> 2023.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="005D36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sednica</w:t>
      </w:r>
      <w:r w:rsidR="005D36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5D36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počela</w:t>
      </w:r>
      <w:r w:rsidR="005D36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="005D3695">
        <w:rPr>
          <w:rFonts w:ascii="Times New Roman" w:hAnsi="Times New Roman" w:cs="Times New Roman"/>
          <w:sz w:val="23"/>
          <w:szCs w:val="23"/>
        </w:rPr>
        <w:t xml:space="preserve"> 10,00 </w:t>
      </w:r>
      <w:r>
        <w:rPr>
          <w:rFonts w:ascii="Times New Roman" w:hAnsi="Times New Roman" w:cs="Times New Roman"/>
          <w:sz w:val="23"/>
          <w:szCs w:val="23"/>
        </w:rPr>
        <w:t>časova</w:t>
      </w:r>
      <w:r w:rsidR="005D3695">
        <w:rPr>
          <w:rFonts w:ascii="Times New Roman" w:hAnsi="Times New Roman" w:cs="Times New Roman"/>
          <w:sz w:val="23"/>
          <w:szCs w:val="23"/>
        </w:rPr>
        <w:t>.</w:t>
      </w:r>
    </w:p>
    <w:p w:rsidR="00E602BE" w:rsidRPr="00CF09FF" w:rsidRDefault="002B3021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nastavku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održana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Treća</w:t>
      </w:r>
      <w:r w:rsidR="005D36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sednica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Pododbora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E602BE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izveštaja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obavljenim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revizijama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="00E602B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602BE" w:rsidRPr="00103F5D" w:rsidRDefault="002B3021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Sednicom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predsedavala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je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Rozalija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Ekres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član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103F5D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602BE" w:rsidRDefault="002B3021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Sednici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je</w:t>
      </w:r>
      <w:r w:rsidR="009441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prisustvovala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član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9441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Svetlana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Milijić</w:t>
      </w:r>
      <w:r w:rsidR="009441B6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E602BE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9441B6" w:rsidRPr="009441B6" w:rsidRDefault="002B3021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Predsedavajuća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je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konstatovala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sednici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postoji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kvorum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odlučivanje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je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sednica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održana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je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skladu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sa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članom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03F5D">
        <w:rPr>
          <w:rFonts w:ascii="Times New Roman" w:eastAsia="Times New Roman" w:hAnsi="Times New Roman" w:cs="Times New Roman"/>
          <w:color w:val="000000"/>
          <w:sz w:val="23"/>
          <w:szCs w:val="23"/>
        </w:rPr>
        <w:t>72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Poslovnika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Narodne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skupštine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kao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tematska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sednica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908B9" w:rsidRDefault="002B3021" w:rsidP="002A2FD5">
      <w:pPr>
        <w:pStyle w:val="ListParagraph"/>
        <w:spacing w:after="120"/>
        <w:ind w:left="0" w:firstLine="720"/>
        <w:contextualSpacing w:val="0"/>
        <w:jc w:val="both"/>
        <w:rPr>
          <w:lang w:val="ru-RU"/>
        </w:rPr>
      </w:pPr>
      <w:r>
        <w:rPr>
          <w:color w:val="000000"/>
          <w:sz w:val="23"/>
          <w:szCs w:val="23"/>
        </w:rPr>
        <w:t>Predloženi</w:t>
      </w:r>
      <w:r w:rsidR="004908B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dnevni</w:t>
      </w:r>
      <w:r w:rsidR="004908B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red</w:t>
      </w:r>
      <w:r w:rsidR="004908B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sednice</w:t>
      </w:r>
      <w:r w:rsidR="004908B9">
        <w:rPr>
          <w:color w:val="000000"/>
          <w:sz w:val="23"/>
          <w:szCs w:val="23"/>
        </w:rPr>
        <w:t xml:space="preserve"> </w:t>
      </w:r>
      <w:r w:rsidR="00E602BE" w:rsidRPr="00CF09F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Pododbora</w:t>
      </w:r>
      <w:r w:rsidR="00E602BE" w:rsidRPr="00CF09F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bio</w:t>
      </w:r>
      <w:r w:rsidR="00E73A3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je</w:t>
      </w:r>
      <w:r w:rsidR="004908B9">
        <w:rPr>
          <w:color w:val="000000"/>
          <w:sz w:val="23"/>
          <w:szCs w:val="23"/>
        </w:rPr>
        <w:t xml:space="preserve"> </w:t>
      </w:r>
      <w:r w:rsidR="004908B9">
        <w:t xml:space="preserve">1. </w:t>
      </w:r>
      <w:r>
        <w:t>Razmatranje</w:t>
      </w:r>
      <w:r w:rsidR="004908B9">
        <w:t xml:space="preserve"> </w:t>
      </w:r>
      <w:r>
        <w:t>sektorskih</w:t>
      </w:r>
      <w:r w:rsidR="004908B9">
        <w:t xml:space="preserve"> </w:t>
      </w:r>
      <w:r>
        <w:t>izveštaja</w:t>
      </w:r>
      <w:r w:rsidR="004908B9">
        <w:t xml:space="preserve"> </w:t>
      </w:r>
      <w:r>
        <w:t>Državne</w:t>
      </w:r>
      <w:r w:rsidR="004908B9">
        <w:t xml:space="preserve"> </w:t>
      </w:r>
      <w:r>
        <w:t>revizorske</w:t>
      </w:r>
      <w:r w:rsidR="004908B9">
        <w:t xml:space="preserve"> </w:t>
      </w:r>
      <w:r>
        <w:t>institucije</w:t>
      </w:r>
      <w:r w:rsidR="004908B9">
        <w:t>:</w:t>
      </w:r>
    </w:p>
    <w:p w:rsidR="004908B9" w:rsidRPr="00E73A3B" w:rsidRDefault="002B3021" w:rsidP="004908B9">
      <w:pPr>
        <w:pStyle w:val="ListParagraph"/>
        <w:numPr>
          <w:ilvl w:val="0"/>
          <w:numId w:val="1"/>
        </w:numPr>
        <w:ind w:left="1491" w:hanging="357"/>
        <w:contextualSpacing w:val="0"/>
        <w:jc w:val="both"/>
        <w:rPr>
          <w:rFonts w:eastAsia="Calibri"/>
        </w:rPr>
      </w:pPr>
      <w:r>
        <w:rPr>
          <w:rFonts w:eastAsia="Calibri"/>
        </w:rPr>
        <w:t>Sektora</w:t>
      </w:r>
      <w:r w:rsidR="004908B9" w:rsidRPr="00E73A3B">
        <w:rPr>
          <w:rFonts w:eastAsia="Calibri"/>
        </w:rPr>
        <w:t xml:space="preserve"> </w:t>
      </w:r>
      <w:r>
        <w:rPr>
          <w:rFonts w:eastAsia="Calibri"/>
        </w:rPr>
        <w:t>broj</w:t>
      </w:r>
      <w:r w:rsidR="004908B9" w:rsidRPr="00E73A3B">
        <w:rPr>
          <w:rFonts w:eastAsia="Calibri"/>
        </w:rPr>
        <w:t xml:space="preserve"> 3 </w:t>
      </w:r>
      <w:r>
        <w:rPr>
          <w:rFonts w:eastAsia="Calibri"/>
        </w:rPr>
        <w:t>za</w:t>
      </w:r>
      <w:r w:rsidR="004908B9" w:rsidRPr="00E73A3B">
        <w:rPr>
          <w:rFonts w:eastAsia="Calibri"/>
        </w:rPr>
        <w:t xml:space="preserve"> 2022. </w:t>
      </w:r>
      <w:r>
        <w:rPr>
          <w:rFonts w:eastAsia="Calibri"/>
        </w:rPr>
        <w:t>godinu</w:t>
      </w:r>
      <w:r w:rsidR="004908B9" w:rsidRPr="00E73A3B">
        <w:rPr>
          <w:rFonts w:eastAsia="Calibri"/>
        </w:rPr>
        <w:t>;</w:t>
      </w:r>
    </w:p>
    <w:p w:rsidR="004908B9" w:rsidRPr="00FE391A" w:rsidRDefault="002B3021" w:rsidP="004908B9">
      <w:pPr>
        <w:pStyle w:val="ListParagraph"/>
        <w:numPr>
          <w:ilvl w:val="0"/>
          <w:numId w:val="1"/>
        </w:numPr>
        <w:spacing w:after="240"/>
        <w:ind w:left="1491" w:hanging="357"/>
        <w:contextualSpacing w:val="0"/>
        <w:jc w:val="both"/>
        <w:rPr>
          <w:rFonts w:eastAsia="Calibri"/>
          <w:color w:val="00B050"/>
        </w:rPr>
      </w:pPr>
      <w:r>
        <w:rPr>
          <w:color w:val="000000" w:themeColor="text1"/>
        </w:rPr>
        <w:t>Sektora</w:t>
      </w:r>
      <w:r w:rsidR="004908B9" w:rsidRPr="00FE391A">
        <w:rPr>
          <w:color w:val="000000" w:themeColor="text1"/>
        </w:rPr>
        <w:t xml:space="preserve"> </w:t>
      </w:r>
      <w:r>
        <w:rPr>
          <w:color w:val="000000" w:themeColor="text1"/>
        </w:rPr>
        <w:t>broj</w:t>
      </w:r>
      <w:r w:rsidR="004908B9" w:rsidRPr="00FE391A">
        <w:rPr>
          <w:color w:val="000000" w:themeColor="text1"/>
        </w:rPr>
        <w:t xml:space="preserve"> 4</w:t>
      </w:r>
      <w:r w:rsidR="004908B9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4908B9">
        <w:rPr>
          <w:color w:val="000000" w:themeColor="text1"/>
        </w:rPr>
        <w:t xml:space="preserve"> 2022</w:t>
      </w:r>
      <w:r w:rsidR="004908B9" w:rsidRPr="00FE391A">
        <w:rPr>
          <w:color w:val="000000" w:themeColor="text1"/>
        </w:rPr>
        <w:t xml:space="preserve">. </w:t>
      </w:r>
      <w:r>
        <w:rPr>
          <w:color w:val="000000" w:themeColor="text1"/>
        </w:rPr>
        <w:t>godinu</w:t>
      </w:r>
      <w:r w:rsidR="004908B9" w:rsidRPr="00FE391A">
        <w:rPr>
          <w:color w:val="000000" w:themeColor="text1"/>
        </w:rPr>
        <w:t>.</w:t>
      </w:r>
    </w:p>
    <w:p w:rsidR="00103F5D" w:rsidRPr="00103F5D" w:rsidRDefault="002B3021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Željko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Motić</w:t>
      </w:r>
      <w:r w:rsidR="00E602BE" w:rsidRPr="00103F5D">
        <w:rPr>
          <w:rFonts w:ascii="Times New Roman" w:hAnsi="Times New Roman"/>
          <w:sz w:val="23"/>
          <w:szCs w:val="23"/>
        </w:rPr>
        <w:t>,</w:t>
      </w:r>
      <w:r w:rsidR="00E602BE" w:rsidRPr="00103F5D">
        <w:rPr>
          <w:rFonts w:ascii="Times New Roman" w:hAnsi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vrhovni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predstavio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radu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E602BE" w:rsidRPr="00103F5D">
        <w:rPr>
          <w:rFonts w:ascii="Times New Roman" w:hAnsi="Times New Roman"/>
          <w:sz w:val="23"/>
          <w:szCs w:val="23"/>
        </w:rPr>
        <w:t xml:space="preserve"> 3 </w:t>
      </w:r>
      <w:r>
        <w:rPr>
          <w:rFonts w:ascii="Times New Roman" w:hAnsi="Times New Roman"/>
          <w:sz w:val="23"/>
          <w:szCs w:val="23"/>
        </w:rPr>
        <w:t>Državne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103F5D">
        <w:rPr>
          <w:rFonts w:ascii="Times New Roman" w:hAnsi="Times New Roman"/>
          <w:sz w:val="23"/>
          <w:szCs w:val="23"/>
        </w:rPr>
        <w:t xml:space="preserve"> 202</w:t>
      </w:r>
      <w:r w:rsidR="004908B9" w:rsidRPr="00103F5D">
        <w:rPr>
          <w:rFonts w:ascii="Times New Roman" w:hAnsi="Times New Roman"/>
          <w:sz w:val="23"/>
          <w:szCs w:val="23"/>
        </w:rPr>
        <w:t>2</w:t>
      </w:r>
      <w:r w:rsidR="00E602BE" w:rsidRPr="00103F5D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godinu</w:t>
      </w:r>
      <w:r w:rsidR="00E602BE" w:rsidRPr="00103F5D">
        <w:rPr>
          <w:rFonts w:ascii="Times New Roman" w:hAnsi="Times New Roman"/>
          <w:sz w:val="23"/>
          <w:szCs w:val="23"/>
        </w:rPr>
        <w:t xml:space="preserve">. </w:t>
      </w:r>
    </w:p>
    <w:p w:rsidR="00E602BE" w:rsidRPr="00103F5D" w:rsidRDefault="002B3021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Sektor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E602BE" w:rsidRPr="00103F5D">
        <w:rPr>
          <w:rFonts w:ascii="Times New Roman" w:hAnsi="Times New Roman"/>
          <w:sz w:val="23"/>
          <w:szCs w:val="23"/>
        </w:rPr>
        <w:t xml:space="preserve"> 3 </w:t>
      </w:r>
      <w:r>
        <w:rPr>
          <w:rFonts w:ascii="Times New Roman" w:hAnsi="Times New Roman"/>
          <w:sz w:val="23"/>
          <w:szCs w:val="23"/>
        </w:rPr>
        <w:t>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E602BE" w:rsidRPr="00103F5D">
        <w:rPr>
          <w:rFonts w:ascii="Times New Roman" w:hAnsi="Times New Roman"/>
          <w:sz w:val="23"/>
          <w:szCs w:val="23"/>
        </w:rPr>
        <w:t xml:space="preserve"> 202</w:t>
      </w:r>
      <w:r w:rsidR="00630618" w:rsidRPr="00103F5D">
        <w:rPr>
          <w:rFonts w:ascii="Times New Roman" w:hAnsi="Times New Roman"/>
          <w:sz w:val="23"/>
          <w:szCs w:val="23"/>
        </w:rPr>
        <w:t>2</w:t>
      </w:r>
      <w:r w:rsidR="00E602BE" w:rsidRPr="00103F5D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godini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sprovodio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finansijskih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svrsishodnosti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izdao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poslerevizione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odazivnih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E602BE" w:rsidRPr="00103F5D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Subjekti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E602BE" w:rsidRPr="00103F5D">
        <w:rPr>
          <w:rFonts w:ascii="Times New Roman" w:hAnsi="Times New Roman"/>
          <w:sz w:val="23"/>
          <w:szCs w:val="23"/>
        </w:rPr>
        <w:t xml:space="preserve"> 3 </w:t>
      </w:r>
      <w:r>
        <w:rPr>
          <w:rFonts w:ascii="Times New Roman" w:hAnsi="Times New Roman"/>
          <w:sz w:val="23"/>
          <w:szCs w:val="23"/>
        </w:rPr>
        <w:t>bile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organizacije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obaveznog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socijalnog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osiguranja</w:t>
      </w:r>
      <w:r w:rsidR="00E602BE" w:rsidRPr="00103F5D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revizija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ovih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organizacija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zakonu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radi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svake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godine</w:t>
      </w:r>
      <w:r w:rsidR="00E602BE" w:rsidRPr="00103F5D">
        <w:rPr>
          <w:rFonts w:ascii="Times New Roman" w:hAnsi="Times New Roman"/>
          <w:sz w:val="23"/>
          <w:szCs w:val="23"/>
        </w:rPr>
        <w:t xml:space="preserve">), </w:t>
      </w:r>
      <w:r>
        <w:rPr>
          <w:rFonts w:ascii="Times New Roman" w:hAnsi="Times New Roman"/>
          <w:sz w:val="23"/>
          <w:szCs w:val="23"/>
        </w:rPr>
        <w:t>korisnici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Republičkog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fonda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zdravstveno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osiguranje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Ministarstvo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zdravlja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Ministarstvo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rad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zapošljavanje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boračka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socijalna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pitanja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njegovi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indirektni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korisnici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dok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="00E602BE" w:rsidRPr="00103F5D">
        <w:rPr>
          <w:rFonts w:ascii="Times New Roman" w:hAnsi="Times New Roman"/>
          <w:sz w:val="23"/>
          <w:szCs w:val="23"/>
        </w:rPr>
        <w:t xml:space="preserve"> 2022. </w:t>
      </w:r>
      <w:r>
        <w:rPr>
          <w:rFonts w:ascii="Times New Roman" w:hAnsi="Times New Roman"/>
          <w:sz w:val="23"/>
          <w:szCs w:val="23"/>
        </w:rPr>
        <w:t>godine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subjekt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ovog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Ministarstvo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brigu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porodici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demografiju</w:t>
      </w:r>
      <w:r w:rsidR="00630618" w:rsidRPr="00103F5D">
        <w:rPr>
          <w:rFonts w:ascii="Times New Roman" w:hAnsi="Times New Roman"/>
          <w:sz w:val="23"/>
          <w:szCs w:val="23"/>
        </w:rPr>
        <w:t>.</w:t>
      </w:r>
    </w:p>
    <w:p w:rsidR="00E602BE" w:rsidRPr="00103F5D" w:rsidRDefault="002B3021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Vrhovni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istakao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predmet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E602BE" w:rsidRPr="00103F5D">
        <w:rPr>
          <w:rFonts w:ascii="Times New Roman" w:hAnsi="Times New Roman"/>
          <w:sz w:val="23"/>
          <w:szCs w:val="23"/>
        </w:rPr>
        <w:t xml:space="preserve"> 3 </w:t>
      </w:r>
      <w:r>
        <w:rPr>
          <w:rFonts w:ascii="Times New Roman" w:hAnsi="Times New Roman"/>
          <w:sz w:val="23"/>
          <w:szCs w:val="23"/>
        </w:rPr>
        <w:t>u</w:t>
      </w:r>
      <w:r w:rsidR="00E602BE" w:rsidRPr="00103F5D">
        <w:rPr>
          <w:rFonts w:ascii="Times New Roman" w:hAnsi="Times New Roman"/>
          <w:sz w:val="23"/>
          <w:szCs w:val="23"/>
        </w:rPr>
        <w:t xml:space="preserve"> 202</w:t>
      </w:r>
      <w:r w:rsidR="00630618" w:rsidRPr="00103F5D">
        <w:rPr>
          <w:rFonts w:ascii="Times New Roman" w:hAnsi="Times New Roman"/>
          <w:sz w:val="23"/>
          <w:szCs w:val="23"/>
        </w:rPr>
        <w:t xml:space="preserve">2. </w:t>
      </w:r>
      <w:r>
        <w:rPr>
          <w:rFonts w:ascii="Times New Roman" w:hAnsi="Times New Roman"/>
          <w:sz w:val="23"/>
          <w:szCs w:val="23"/>
        </w:rPr>
        <w:t>godini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bilo</w:t>
      </w:r>
      <w:r w:rsidR="00E602BE" w:rsidRPr="00103F5D">
        <w:rPr>
          <w:rFonts w:ascii="Times New Roman" w:hAnsi="Times New Roman"/>
          <w:sz w:val="23"/>
          <w:szCs w:val="23"/>
        </w:rPr>
        <w:t xml:space="preserve"> 10</w:t>
      </w:r>
      <w:r w:rsidR="00630618" w:rsidRPr="00103F5D">
        <w:rPr>
          <w:rFonts w:ascii="Times New Roman" w:hAnsi="Times New Roman"/>
          <w:sz w:val="23"/>
          <w:szCs w:val="23"/>
        </w:rPr>
        <w:t>0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revizorskih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proizvoda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čega</w:t>
      </w:r>
      <w:r w:rsidR="00E602BE" w:rsidRPr="00103F5D">
        <w:rPr>
          <w:rFonts w:ascii="Times New Roman" w:hAnsi="Times New Roman"/>
          <w:sz w:val="23"/>
          <w:szCs w:val="23"/>
        </w:rPr>
        <w:t xml:space="preserve">: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20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finansijskih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E602BE" w:rsidRPr="00103F5D">
        <w:rPr>
          <w:rFonts w:ascii="Times New Roman" w:hAnsi="Times New Roman"/>
          <w:sz w:val="23"/>
          <w:szCs w:val="23"/>
        </w:rPr>
        <w:t>,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28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pravilnosti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E602BE" w:rsidRPr="00103F5D">
        <w:rPr>
          <w:rFonts w:ascii="Times New Roman" w:hAnsi="Times New Roman"/>
          <w:sz w:val="23"/>
          <w:szCs w:val="23"/>
        </w:rPr>
        <w:t>,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2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svrsishodnosti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E602BE" w:rsidRPr="00103F5D">
        <w:rPr>
          <w:rFonts w:ascii="Times New Roman" w:hAnsi="Times New Roman"/>
          <w:sz w:val="23"/>
          <w:szCs w:val="23"/>
        </w:rPr>
        <w:t>,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1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odazivnih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49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eastAsiaTheme="minorEastAsia" w:hAnsi="Times New Roman"/>
          <w:sz w:val="23"/>
          <w:szCs w:val="23"/>
        </w:rPr>
        <w:t>oslereviziona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602BE" w:rsidRPr="00103F5D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Kod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finansijskih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izraženo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8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nemodifikovanih</w:t>
      </w:r>
      <w:r w:rsidR="00E602BE" w:rsidRPr="00103F5D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pozitivnih</w:t>
      </w:r>
      <w:r w:rsidR="00E602BE" w:rsidRPr="00103F5D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mišljenja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 w:rsidR="00630618" w:rsidRPr="00103F5D">
        <w:rPr>
          <w:rFonts w:ascii="Times New Roman" w:hAnsi="Times New Roman"/>
          <w:sz w:val="23"/>
          <w:szCs w:val="23"/>
        </w:rPr>
        <w:t>12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modifikovanih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 w:rsidR="00630618" w:rsidRPr="00103F5D">
        <w:rPr>
          <w:rFonts w:ascii="Times New Roman" w:hAnsi="Times New Roman"/>
          <w:sz w:val="23"/>
          <w:szCs w:val="23"/>
        </w:rPr>
        <w:t>(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630618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630618" w:rsidRPr="00103F5D">
        <w:rPr>
          <w:rFonts w:ascii="Times New Roman" w:hAnsi="Times New Roman"/>
          <w:sz w:val="23"/>
          <w:szCs w:val="23"/>
        </w:rPr>
        <w:t>)</w:t>
      </w:r>
      <w:r w:rsidR="00F6135D" w:rsidRPr="00103F5D">
        <w:rPr>
          <w:rFonts w:ascii="Times New Roman" w:hAnsi="Times New Roman"/>
          <w:sz w:val="23"/>
          <w:szCs w:val="23"/>
          <w:lang w:val="sr-Cyrl-RS"/>
        </w:rPr>
        <w:t>.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Takođe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subjektima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493F89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date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 w:rsidR="00493F89" w:rsidRPr="00103F5D">
        <w:rPr>
          <w:rFonts w:ascii="Times New Roman" w:hAnsi="Times New Roman"/>
          <w:sz w:val="23"/>
          <w:szCs w:val="23"/>
        </w:rPr>
        <w:t>232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preporuka</w:t>
      </w:r>
      <w:r w:rsidR="00E602BE" w:rsidRPr="00103F5D">
        <w:rPr>
          <w:rFonts w:ascii="Times New Roman" w:hAnsi="Times New Roman"/>
          <w:sz w:val="23"/>
          <w:szCs w:val="23"/>
        </w:rPr>
        <w:t>.</w:t>
      </w:r>
    </w:p>
    <w:p w:rsidR="00493F89" w:rsidRPr="00E73A3B" w:rsidRDefault="002B3021" w:rsidP="00F613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Kod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dato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E73A3B">
        <w:rPr>
          <w:rFonts w:ascii="Times New Roman" w:hAnsi="Times New Roman"/>
          <w:sz w:val="23"/>
          <w:szCs w:val="23"/>
        </w:rPr>
        <w:t xml:space="preserve"> 28 </w:t>
      </w:r>
      <w:r>
        <w:rPr>
          <w:rFonts w:ascii="Times New Roman" w:hAnsi="Times New Roman"/>
          <w:sz w:val="23"/>
          <w:szCs w:val="23"/>
        </w:rPr>
        <w:t>zaključaka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E602BE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E602BE" w:rsidRPr="00E73A3B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Revizije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rađene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tri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teme</w:t>
      </w:r>
      <w:r w:rsidR="00493F89" w:rsidRPr="00E73A3B">
        <w:rPr>
          <w:rFonts w:ascii="Times New Roman" w:hAnsi="Times New Roman"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  <w:lang w:val="ru-RU"/>
        </w:rPr>
        <w:t>Nabavke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dobara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usluga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radova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u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2020.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2021. </w:t>
      </w:r>
      <w:r>
        <w:rPr>
          <w:rFonts w:ascii="Times New Roman" w:hAnsi="Times New Roman"/>
          <w:sz w:val="23"/>
          <w:szCs w:val="23"/>
          <w:lang w:val="ru-RU"/>
        </w:rPr>
        <w:t>godini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rashodi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zaposlene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u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2021. </w:t>
      </w:r>
      <w:r>
        <w:rPr>
          <w:rFonts w:ascii="Times New Roman" w:hAnsi="Times New Roman"/>
          <w:sz w:val="23"/>
          <w:szCs w:val="23"/>
          <w:lang w:val="ru-RU"/>
        </w:rPr>
        <w:t>godini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>,</w:t>
      </w:r>
      <w:r w:rsidR="00493F89" w:rsidRPr="00E73A3B">
        <w:rPr>
          <w:rFonts w:ascii="Times New Roman" w:eastAsia="+mn-ea" w:hAnsi="Times New Roman"/>
          <w:color w:val="FFFFFF"/>
          <w:kern w:val="24"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Jednokratne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novčane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pomoći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u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2021. </w:t>
      </w:r>
      <w:r>
        <w:rPr>
          <w:rFonts w:ascii="Times New Roman" w:hAnsi="Times New Roman"/>
          <w:sz w:val="23"/>
          <w:szCs w:val="23"/>
          <w:lang w:val="ru-RU"/>
        </w:rPr>
        <w:t>godini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nabavke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dobara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usluga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radova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u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2020.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2021. </w:t>
      </w:r>
      <w:r>
        <w:rPr>
          <w:rFonts w:ascii="Times New Roman" w:hAnsi="Times New Roman"/>
          <w:sz w:val="23"/>
          <w:szCs w:val="23"/>
          <w:lang w:val="ru-RU"/>
        </w:rPr>
        <w:t>godini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Sprovođenje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preduzetih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mera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ispravljanje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nepravilnosti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otkrivenih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u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revizijama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finansijskih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izveštaja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i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pravilnosti</w:t>
      </w:r>
      <w:r w:rsidR="00627DF3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poslovanja</w:t>
      </w:r>
      <w:r w:rsidR="00627DF3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u</w:t>
      </w:r>
      <w:r w:rsidR="00627DF3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ranijim</w:t>
      </w:r>
      <w:r w:rsidR="00627DF3" w:rsidRPr="00E73A3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godinama</w:t>
      </w:r>
      <w:r w:rsidR="00627DF3" w:rsidRPr="00E73A3B">
        <w:rPr>
          <w:rFonts w:ascii="Times New Roman" w:hAnsi="Times New Roman"/>
          <w:sz w:val="23"/>
          <w:szCs w:val="23"/>
          <w:lang w:val="ru-RU"/>
        </w:rPr>
        <w:t>.</w:t>
      </w:r>
      <w:r>
        <w:rPr>
          <w:rFonts w:ascii="Times New Roman" w:hAnsi="Times New Roman"/>
          <w:sz w:val="23"/>
          <w:szCs w:val="23"/>
          <w:lang w:val="ru-RU"/>
        </w:rPr>
        <w:t>Subjektima</w:t>
      </w:r>
      <w:r w:rsidR="00F6135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revizije</w:t>
      </w:r>
      <w:r w:rsidR="00F6135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su</w:t>
      </w:r>
      <w:r w:rsidR="00F6135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date</w:t>
      </w:r>
      <w:r w:rsidR="00F6135D">
        <w:rPr>
          <w:rFonts w:ascii="Times New Roman" w:hAnsi="Times New Roman"/>
          <w:sz w:val="23"/>
          <w:szCs w:val="23"/>
          <w:lang w:val="ru-RU"/>
        </w:rPr>
        <w:t xml:space="preserve"> 373 </w:t>
      </w:r>
      <w:r>
        <w:rPr>
          <w:rFonts w:ascii="Times New Roman" w:hAnsi="Times New Roman"/>
          <w:sz w:val="23"/>
          <w:szCs w:val="23"/>
          <w:lang w:val="ru-RU"/>
        </w:rPr>
        <w:t>preporuke</w:t>
      </w:r>
      <w:r w:rsidR="00F6135D">
        <w:rPr>
          <w:rFonts w:ascii="Times New Roman" w:hAnsi="Times New Roman"/>
          <w:sz w:val="23"/>
          <w:szCs w:val="23"/>
          <w:lang w:val="ru-RU"/>
        </w:rPr>
        <w:t>.</w:t>
      </w:r>
    </w:p>
    <w:p w:rsidR="00F6135D" w:rsidRPr="00F6135D" w:rsidRDefault="00493F89" w:rsidP="00F6135D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E73A3B">
        <w:rPr>
          <w:rFonts w:ascii="Times New Roman" w:hAnsi="Times New Roman"/>
          <w:sz w:val="23"/>
          <w:szCs w:val="23"/>
        </w:rPr>
        <w:t xml:space="preserve"> </w:t>
      </w:r>
      <w:r w:rsidR="00F6135D">
        <w:rPr>
          <w:rFonts w:ascii="Times New Roman" w:hAnsi="Times New Roman"/>
          <w:sz w:val="23"/>
          <w:szCs w:val="23"/>
          <w:lang w:val="sr-Cyrl-RS"/>
        </w:rPr>
        <w:tab/>
      </w:r>
      <w:r w:rsidR="002B3021">
        <w:rPr>
          <w:rFonts w:ascii="Times New Roman" w:hAnsi="Times New Roman"/>
          <w:sz w:val="23"/>
          <w:szCs w:val="23"/>
        </w:rPr>
        <w:t>Takođe</w:t>
      </w:r>
      <w:r w:rsidR="00E602BE" w:rsidRPr="00CF09FF">
        <w:rPr>
          <w:rFonts w:ascii="Times New Roman" w:hAnsi="Times New Roman"/>
          <w:sz w:val="23"/>
          <w:szCs w:val="23"/>
        </w:rPr>
        <w:t xml:space="preserve">, </w:t>
      </w:r>
      <w:r w:rsidR="002B3021">
        <w:rPr>
          <w:rFonts w:ascii="Times New Roman" w:hAnsi="Times New Roman"/>
          <w:sz w:val="23"/>
          <w:szCs w:val="23"/>
        </w:rPr>
        <w:t>izvršene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su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dve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revizije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svrsishodnosti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na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teme</w:t>
      </w:r>
      <w:r w:rsidR="00E602BE" w:rsidRPr="00CF09FF">
        <w:rPr>
          <w:rFonts w:ascii="Times New Roman" w:hAnsi="Times New Roman"/>
          <w:sz w:val="23"/>
          <w:szCs w:val="23"/>
        </w:rPr>
        <w:t>: “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Efikasnost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raspodele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i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korišćenja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namenskih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transfera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u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socijalnoj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zaštiti</w:t>
      </w:r>
      <w:r w:rsidR="00E602BE" w:rsidRPr="00CF09FF">
        <w:rPr>
          <w:rFonts w:ascii="Times New Roman" w:hAnsi="Times New Roman"/>
          <w:sz w:val="23"/>
          <w:szCs w:val="23"/>
        </w:rPr>
        <w:t xml:space="preserve">’’ </w:t>
      </w:r>
      <w:r w:rsidR="002B3021">
        <w:rPr>
          <w:rFonts w:ascii="Times New Roman" w:hAnsi="Times New Roman"/>
          <w:sz w:val="23"/>
          <w:szCs w:val="23"/>
        </w:rPr>
        <w:t>i</w:t>
      </w:r>
      <w:r w:rsidR="00E602BE" w:rsidRPr="00CF09FF">
        <w:rPr>
          <w:rFonts w:ascii="Times New Roman" w:hAnsi="Times New Roman"/>
          <w:sz w:val="23"/>
          <w:szCs w:val="23"/>
        </w:rPr>
        <w:t xml:space="preserve"> “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Efikasnost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naplate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pruženih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usluga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hitne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medicinske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pomoći</w:t>
      </w:r>
      <w:r w:rsidR="00E602BE" w:rsidRPr="00CF09FF">
        <w:rPr>
          <w:rFonts w:ascii="Times New Roman" w:hAnsi="Times New Roman"/>
          <w:sz w:val="23"/>
          <w:szCs w:val="23"/>
        </w:rPr>
        <w:t xml:space="preserve">”. </w:t>
      </w:r>
      <w:r w:rsidR="002B3021">
        <w:rPr>
          <w:rFonts w:ascii="Times New Roman" w:hAnsi="Times New Roman"/>
          <w:sz w:val="23"/>
          <w:szCs w:val="23"/>
        </w:rPr>
        <w:t>Nakon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sprovedenih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revizija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dato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je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ukupno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F6135D">
        <w:rPr>
          <w:rFonts w:ascii="Times New Roman" w:hAnsi="Times New Roman"/>
          <w:sz w:val="23"/>
          <w:szCs w:val="23"/>
          <w:lang w:val="sr-Cyrl-RS"/>
        </w:rPr>
        <w:t>23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preporuk</w:t>
      </w:r>
      <w:r w:rsidR="002B3021">
        <w:rPr>
          <w:rFonts w:ascii="Times New Roman" w:hAnsi="Times New Roman"/>
          <w:sz w:val="23"/>
          <w:szCs w:val="23"/>
          <w:lang w:val="sr-Cyrl-RS"/>
        </w:rPr>
        <w:t>e</w:t>
      </w:r>
      <w:r w:rsidR="00E602BE" w:rsidRPr="00CF09FF">
        <w:rPr>
          <w:rFonts w:ascii="Times New Roman" w:hAnsi="Times New Roman"/>
          <w:sz w:val="23"/>
          <w:szCs w:val="23"/>
        </w:rPr>
        <w:t xml:space="preserve">: 10 </w:t>
      </w:r>
      <w:r w:rsidR="002B3021">
        <w:rPr>
          <w:rFonts w:ascii="Times New Roman" w:hAnsi="Times New Roman"/>
          <w:sz w:val="23"/>
          <w:szCs w:val="23"/>
        </w:rPr>
        <w:t>preporuka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se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odnosi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na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reviziju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F6135D" w:rsidRPr="00CF09FF">
        <w:rPr>
          <w:rFonts w:ascii="Times New Roman" w:hAnsi="Times New Roman"/>
          <w:sz w:val="23"/>
          <w:szCs w:val="23"/>
        </w:rPr>
        <w:t>“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Efikasnost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raspodele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i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korišćenja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namenskih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transfera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u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socijalnoj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zaštiti</w:t>
      </w:r>
      <w:r w:rsidR="00F6135D" w:rsidRPr="00CF09FF">
        <w:rPr>
          <w:rFonts w:ascii="Times New Roman" w:hAnsi="Times New Roman"/>
          <w:sz w:val="23"/>
          <w:szCs w:val="23"/>
        </w:rPr>
        <w:t>’’</w:t>
      </w:r>
      <w:r w:rsidR="002B3021">
        <w:rPr>
          <w:rFonts w:ascii="Times New Roman" w:hAnsi="Times New Roman"/>
          <w:sz w:val="23"/>
          <w:szCs w:val="23"/>
          <w:lang w:val="sr-Cyrl-RS"/>
        </w:rPr>
        <w:t>d</w:t>
      </w:r>
      <w:r w:rsidR="002B3021">
        <w:rPr>
          <w:rFonts w:ascii="Times New Roman" w:hAnsi="Times New Roman"/>
          <w:sz w:val="23"/>
          <w:szCs w:val="23"/>
        </w:rPr>
        <w:t>ok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se</w:t>
      </w:r>
      <w:r w:rsidR="00E602BE" w:rsidRPr="00CF09FF">
        <w:rPr>
          <w:rFonts w:ascii="Times New Roman" w:hAnsi="Times New Roman"/>
          <w:sz w:val="23"/>
          <w:szCs w:val="23"/>
        </w:rPr>
        <w:t xml:space="preserve"> 5 </w:t>
      </w:r>
      <w:r w:rsidR="002B3021">
        <w:rPr>
          <w:rFonts w:ascii="Times New Roman" w:hAnsi="Times New Roman"/>
          <w:sz w:val="23"/>
          <w:szCs w:val="23"/>
        </w:rPr>
        <w:t>preporuka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odnosi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</w:rPr>
        <w:t>na</w:t>
      </w:r>
      <w:r w:rsidR="00E602BE" w:rsidRPr="00CF09FF">
        <w:rPr>
          <w:rFonts w:ascii="Times New Roman" w:hAnsi="Times New Roman"/>
          <w:sz w:val="23"/>
          <w:szCs w:val="23"/>
        </w:rPr>
        <w:t xml:space="preserve"> </w:t>
      </w:r>
      <w:r w:rsidR="00F6135D" w:rsidRPr="00CF09FF">
        <w:rPr>
          <w:rFonts w:ascii="Times New Roman" w:hAnsi="Times New Roman"/>
          <w:sz w:val="23"/>
          <w:szCs w:val="23"/>
        </w:rPr>
        <w:t>“</w:t>
      </w:r>
      <w:r w:rsidR="002B3021">
        <w:rPr>
          <w:rFonts w:ascii="Times New Roman" w:hAnsi="Times New Roman"/>
          <w:sz w:val="23"/>
          <w:szCs w:val="23"/>
        </w:rPr>
        <w:t>Efikasnost</w:t>
      </w:r>
      <w:r w:rsidR="00F6135D" w:rsidRPr="00CF09FF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naplate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pruženih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usluga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hitne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medicinske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pomoći</w:t>
      </w:r>
      <w:r w:rsidR="00F6135D" w:rsidRPr="00CF09FF">
        <w:rPr>
          <w:rFonts w:ascii="Times New Roman" w:hAnsi="Times New Roman"/>
          <w:sz w:val="23"/>
          <w:szCs w:val="23"/>
        </w:rPr>
        <w:t>”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U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2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. </w:t>
      </w:r>
      <w:r w:rsidR="002B3021">
        <w:rPr>
          <w:rFonts w:ascii="Times New Roman" w:eastAsiaTheme="minorEastAsia" w:hAnsi="Times New Roman"/>
          <w:sz w:val="23"/>
          <w:szCs w:val="23"/>
        </w:rPr>
        <w:t>godini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, 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49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subjekata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koji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su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bili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revidirani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tokom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. </w:t>
      </w:r>
      <w:r w:rsidR="002B3021">
        <w:rPr>
          <w:rFonts w:ascii="Times New Roman" w:eastAsiaTheme="minorEastAsia" w:hAnsi="Times New Roman"/>
          <w:sz w:val="23"/>
          <w:szCs w:val="23"/>
        </w:rPr>
        <w:t>i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2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. </w:t>
      </w:r>
      <w:r w:rsidR="002B3021">
        <w:rPr>
          <w:rFonts w:ascii="Times New Roman" w:eastAsiaTheme="minorEastAsia" w:hAnsi="Times New Roman"/>
          <w:sz w:val="23"/>
          <w:szCs w:val="23"/>
        </w:rPr>
        <w:t>godine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, </w:t>
      </w:r>
      <w:r w:rsidR="002B3021">
        <w:rPr>
          <w:rFonts w:ascii="Times New Roman" w:eastAsiaTheme="minorEastAsia" w:hAnsi="Times New Roman"/>
          <w:sz w:val="23"/>
          <w:szCs w:val="23"/>
        </w:rPr>
        <w:t>u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skladu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sa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datim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rokovima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za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otklanjanje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utvrđenih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nepravilnosti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su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dostavljali</w:t>
      </w:r>
      <w:r w:rsid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DRI</w:t>
      </w:r>
      <w:r w:rsid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poslerevizione</w:t>
      </w:r>
      <w:r w:rsid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2B3021">
        <w:rPr>
          <w:rFonts w:ascii="Times New Roman" w:eastAsiaTheme="minorEastAsia" w:hAnsi="Times New Roman"/>
          <w:sz w:val="23"/>
          <w:szCs w:val="23"/>
        </w:rPr>
        <w:t>izveštaje</w:t>
      </w:r>
      <w:r w:rsidR="00F6135D">
        <w:rPr>
          <w:rFonts w:ascii="Times New Roman" w:eastAsiaTheme="minorEastAsia" w:hAnsi="Times New Roman"/>
          <w:sz w:val="23"/>
          <w:szCs w:val="23"/>
        </w:rPr>
        <w:t>.</w:t>
      </w:r>
    </w:p>
    <w:p w:rsidR="00F6135D" w:rsidRPr="00F6135D" w:rsidRDefault="002B3021" w:rsidP="00F6135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Dragan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Golubović</w:t>
      </w:r>
      <w:r w:rsidR="00E73A3B" w:rsidRPr="00F613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vrhovni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73A3B" w:rsidRPr="00F613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predstavio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radu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E73A3B" w:rsidRPr="00F6135D">
        <w:rPr>
          <w:rFonts w:ascii="Times New Roman" w:hAnsi="Times New Roman"/>
          <w:sz w:val="23"/>
          <w:szCs w:val="23"/>
        </w:rPr>
        <w:t xml:space="preserve"> 4 </w:t>
      </w:r>
      <w:r>
        <w:rPr>
          <w:rFonts w:ascii="Times New Roman" w:hAnsi="Times New Roman"/>
          <w:sz w:val="23"/>
          <w:szCs w:val="23"/>
        </w:rPr>
        <w:t>Državne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E73A3B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73A3B" w:rsidRPr="00F6135D">
        <w:rPr>
          <w:rFonts w:ascii="Times New Roman" w:hAnsi="Times New Roman"/>
          <w:sz w:val="23"/>
          <w:szCs w:val="23"/>
        </w:rPr>
        <w:t xml:space="preserve"> 2022. </w:t>
      </w:r>
      <w:r>
        <w:rPr>
          <w:rFonts w:ascii="Times New Roman" w:hAnsi="Times New Roman"/>
          <w:sz w:val="23"/>
          <w:szCs w:val="23"/>
          <w:lang w:val="sr-Cyrl-RS"/>
        </w:rPr>
        <w:t>g</w:t>
      </w:r>
      <w:r>
        <w:rPr>
          <w:rFonts w:ascii="Times New Roman" w:hAnsi="Times New Roman"/>
          <w:sz w:val="23"/>
          <w:szCs w:val="23"/>
        </w:rPr>
        <w:t>odinu</w:t>
      </w:r>
      <w:r w:rsidR="00F6135D" w:rsidRPr="00F6135D">
        <w:rPr>
          <w:rFonts w:ascii="Times New Roman" w:hAnsi="Times New Roman"/>
          <w:sz w:val="23"/>
          <w:szCs w:val="23"/>
          <w:lang w:val="sr-Cyrl-RS"/>
        </w:rPr>
        <w:t>.</w:t>
      </w:r>
    </w:p>
    <w:p w:rsidR="00E602BE" w:rsidRDefault="002B3021" w:rsidP="006153E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Vrhovni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istakao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predmet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E602BE" w:rsidRPr="00F6135D">
        <w:rPr>
          <w:rFonts w:ascii="Times New Roman" w:hAnsi="Times New Roman"/>
          <w:sz w:val="23"/>
          <w:szCs w:val="23"/>
        </w:rPr>
        <w:t xml:space="preserve"> 4 </w:t>
      </w:r>
      <w:r>
        <w:rPr>
          <w:rFonts w:ascii="Times New Roman" w:hAnsi="Times New Roman"/>
          <w:sz w:val="23"/>
          <w:szCs w:val="23"/>
        </w:rPr>
        <w:t>bilo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 w:rsidR="00F6135D">
        <w:rPr>
          <w:rFonts w:ascii="Times New Roman" w:hAnsi="Times New Roman"/>
          <w:sz w:val="23"/>
          <w:szCs w:val="23"/>
          <w:lang w:val="sr-Cyrl-RS"/>
        </w:rPr>
        <w:t>154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proizvoda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čega</w:t>
      </w:r>
      <w:r w:rsidR="00E602BE" w:rsidRPr="00F6135D">
        <w:rPr>
          <w:rFonts w:ascii="Times New Roman" w:hAnsi="Times New Roman"/>
          <w:sz w:val="23"/>
          <w:szCs w:val="23"/>
        </w:rPr>
        <w:t xml:space="preserve">: 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21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finansijskih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za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. </w:t>
      </w:r>
      <w:r>
        <w:rPr>
          <w:rFonts w:ascii="Times New Roman" w:eastAsiaTheme="minorEastAsia" w:hAnsi="Times New Roman"/>
          <w:sz w:val="23"/>
          <w:szCs w:val="23"/>
        </w:rPr>
        <w:t>godinu</w:t>
      </w:r>
      <w:r w:rsidR="00E602BE" w:rsidRPr="00F6135D">
        <w:rPr>
          <w:rFonts w:ascii="Times New Roman" w:hAnsi="Times New Roman"/>
          <w:sz w:val="23"/>
          <w:szCs w:val="23"/>
        </w:rPr>
        <w:t>,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3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pravilnosti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za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20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20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. </w:t>
      </w:r>
      <w:r>
        <w:rPr>
          <w:rFonts w:ascii="Times New Roman" w:eastAsiaTheme="minorEastAsia" w:hAnsi="Times New Roman"/>
          <w:sz w:val="23"/>
          <w:szCs w:val="23"/>
        </w:rPr>
        <w:t>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. </w:t>
      </w:r>
      <w:r>
        <w:rPr>
          <w:rFonts w:ascii="Times New Roman" w:eastAsiaTheme="minorEastAsia" w:hAnsi="Times New Roman"/>
          <w:sz w:val="23"/>
          <w:szCs w:val="23"/>
        </w:rPr>
        <w:t>godinu</w:t>
      </w:r>
      <w:r w:rsidR="00E602BE" w:rsidRPr="00F6135D">
        <w:rPr>
          <w:rFonts w:ascii="Times New Roman" w:hAnsi="Times New Roman"/>
          <w:sz w:val="23"/>
          <w:szCs w:val="23"/>
        </w:rPr>
        <w:t>,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11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finansijskih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pravilnosti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za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202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. </w:t>
      </w:r>
      <w:r>
        <w:rPr>
          <w:rFonts w:ascii="Times New Roman" w:eastAsiaTheme="minorEastAsia" w:hAnsi="Times New Roman"/>
          <w:sz w:val="23"/>
          <w:szCs w:val="23"/>
        </w:rPr>
        <w:t>godinu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, 4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svrsishodnosti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E602BE" w:rsidRPr="00F6135D">
        <w:rPr>
          <w:rFonts w:ascii="Times New Roman" w:hAnsi="Times New Roman"/>
          <w:sz w:val="23"/>
          <w:szCs w:val="23"/>
        </w:rPr>
        <w:t>,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20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odazivnih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75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eastAsiaTheme="minorEastAsia" w:hAnsi="Times New Roman"/>
          <w:sz w:val="23"/>
          <w:szCs w:val="23"/>
        </w:rPr>
        <w:t>oslerevizion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a</w:t>
      </w:r>
      <w:r w:rsidR="00E602BE" w:rsidRPr="00F6135D">
        <w:rPr>
          <w:rFonts w:ascii="Times New Roman" w:eastAsiaTheme="minorEastAsia" w:hAnsi="Times New Roman"/>
          <w:sz w:val="23"/>
          <w:szCs w:val="23"/>
        </w:rPr>
        <w:t>.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Kod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lastRenderedPageBreak/>
        <w:t>finansijskih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izražen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3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nemodifikovan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E602BE" w:rsidRPr="00F6135D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pozitivn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E602BE" w:rsidRPr="00F6135D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mišljenja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18 </w:t>
      </w:r>
      <w:r>
        <w:rPr>
          <w:rFonts w:ascii="Times New Roman" w:hAnsi="Times New Roman"/>
          <w:sz w:val="23"/>
          <w:szCs w:val="23"/>
        </w:rPr>
        <w:t>modifikovanih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E602BE" w:rsidRPr="00F6135D">
        <w:rPr>
          <w:rFonts w:ascii="Times New Roman" w:hAnsi="Times New Roman"/>
          <w:sz w:val="23"/>
          <w:szCs w:val="23"/>
        </w:rPr>
        <w:t xml:space="preserve"> (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16 </w:t>
      </w:r>
      <w:r>
        <w:rPr>
          <w:rFonts w:ascii="Times New Roman" w:hAnsi="Times New Roman"/>
          <w:sz w:val="23"/>
          <w:szCs w:val="23"/>
        </w:rPr>
        <w:t>mišljenja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2 </w:t>
      </w:r>
      <w:r>
        <w:rPr>
          <w:rFonts w:ascii="Times New Roman" w:hAnsi="Times New Roman"/>
          <w:sz w:val="23"/>
          <w:szCs w:val="23"/>
          <w:lang w:val="sr-Cyrl-RS"/>
        </w:rPr>
        <w:t>negativna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mišljenja</w:t>
      </w:r>
      <w:r w:rsidR="00B94436">
        <w:rPr>
          <w:rFonts w:ascii="Times New Roman" w:hAnsi="Times New Roman"/>
          <w:sz w:val="23"/>
          <w:szCs w:val="23"/>
        </w:rPr>
        <w:t xml:space="preserve">), </w:t>
      </w:r>
      <w:r>
        <w:rPr>
          <w:rFonts w:ascii="Times New Roman" w:hAnsi="Times New Roman"/>
          <w:sz w:val="23"/>
          <w:szCs w:val="23"/>
        </w:rPr>
        <w:t>dok</w:t>
      </w:r>
      <w:r w:rsidR="00B9443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kod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E602BE" w:rsidRPr="00F6135D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izražen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 2 </w:t>
      </w:r>
      <w:r>
        <w:rPr>
          <w:rFonts w:ascii="Times New Roman" w:hAnsi="Times New Roman"/>
          <w:sz w:val="23"/>
          <w:szCs w:val="23"/>
          <w:lang w:val="sr-Cyrl-RS"/>
        </w:rPr>
        <w:t>nemodifikovana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pozitivna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602BE" w:rsidRPr="00F6135D">
        <w:rPr>
          <w:rFonts w:ascii="Times New Roman" w:hAnsi="Times New Roman"/>
          <w:sz w:val="23"/>
          <w:szCs w:val="23"/>
        </w:rPr>
        <w:t xml:space="preserve"> 9 </w:t>
      </w:r>
      <w:r>
        <w:rPr>
          <w:rFonts w:ascii="Times New Roman" w:hAnsi="Times New Roman"/>
          <w:sz w:val="23"/>
          <w:szCs w:val="23"/>
        </w:rPr>
        <w:t>modifikovanih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E602BE" w:rsidRPr="00F6135D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mišljenja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E602BE" w:rsidRPr="00F6135D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na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3 </w:t>
      </w:r>
      <w:r>
        <w:rPr>
          <w:rFonts w:ascii="Times New Roman" w:hAnsi="Times New Roman"/>
          <w:sz w:val="23"/>
          <w:szCs w:val="23"/>
          <w:lang w:val="sr-Cyrl-RS"/>
        </w:rPr>
        <w:t>nemodifikovana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pozitivna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mišljenja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602BE" w:rsidRPr="00F6135D">
        <w:rPr>
          <w:rFonts w:ascii="Times New Roman" w:hAnsi="Times New Roman"/>
          <w:sz w:val="23"/>
          <w:szCs w:val="23"/>
        </w:rPr>
        <w:t xml:space="preserve"> 8 </w:t>
      </w:r>
      <w:r>
        <w:rPr>
          <w:rFonts w:ascii="Times New Roman" w:hAnsi="Times New Roman"/>
          <w:sz w:val="23"/>
          <w:szCs w:val="23"/>
        </w:rPr>
        <w:t>modifikovanih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E602BE" w:rsidRPr="00F6135D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mišljenja</w:t>
      </w:r>
      <w:r w:rsidR="00B9443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B9443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B94436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na</w:t>
      </w:r>
      <w:r w:rsidR="00B9443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poslovanja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</w:rPr>
        <w:t>Urađene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četiri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svrsishodnosti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teme</w:t>
      </w:r>
      <w:r w:rsidR="00E602BE" w:rsidRPr="00F6135D">
        <w:rPr>
          <w:rFonts w:ascii="Times New Roman" w:hAnsi="Times New Roman"/>
          <w:sz w:val="23"/>
          <w:szCs w:val="23"/>
        </w:rPr>
        <w:t>:”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Upravljanje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industrijskim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otpadnim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vodama</w:t>
      </w:r>
      <w:r w:rsidR="00B94436">
        <w:rPr>
          <w:rFonts w:ascii="Times New Roman" w:hAnsi="Times New Roman"/>
          <w:bCs/>
          <w:sz w:val="23"/>
          <w:szCs w:val="23"/>
        </w:rPr>
        <w:t>”,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“</w:t>
      </w:r>
      <w:r>
        <w:rPr>
          <w:rFonts w:ascii="Times New Roman" w:hAnsi="Times New Roman"/>
          <w:bCs/>
          <w:sz w:val="23"/>
          <w:szCs w:val="23"/>
          <w:lang w:val="en-GB"/>
        </w:rPr>
        <w:t>Efikasnost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uspostavljanja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interne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finansijske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kontrole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u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javnim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preduzećima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i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društvima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kapitala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koja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obavljaju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delatnost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od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opšteg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interesa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”,”</w:t>
      </w:r>
      <w:r>
        <w:rPr>
          <w:rFonts w:ascii="Times New Roman" w:hAnsi="Times New Roman"/>
          <w:bCs/>
          <w:sz w:val="23"/>
          <w:szCs w:val="23"/>
          <w:lang w:val="en-GB"/>
        </w:rPr>
        <w:t>Upravljanje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industrijskim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otpadnim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vodama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”,“</w:t>
      </w:r>
      <w:r>
        <w:rPr>
          <w:rFonts w:ascii="Times New Roman" w:hAnsi="Times New Roman"/>
          <w:bCs/>
          <w:sz w:val="23"/>
          <w:szCs w:val="23"/>
          <w:lang w:val="en-GB"/>
        </w:rPr>
        <w:t>Upravljanje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biomasom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kao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obnovljivim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izvorom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energije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</w:t>
      </w:r>
      <w:r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Unapređenje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biciklističkog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en-GB"/>
        </w:rPr>
        <w:t>saobraćaja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</w:t>
      </w:r>
      <w:r w:rsidR="00B94436">
        <w:rPr>
          <w:rFonts w:ascii="Times New Roman" w:hAnsi="Times New Roman"/>
          <w:bCs/>
          <w:sz w:val="23"/>
          <w:szCs w:val="23"/>
          <w:lang w:val="sr-Cyrl-RS"/>
        </w:rPr>
        <w:t>.</w:t>
      </w:r>
      <w:r w:rsidR="006153E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Dato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ukupno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 w:rsidR="006153EB">
        <w:rPr>
          <w:rFonts w:ascii="Times New Roman" w:hAnsi="Times New Roman"/>
          <w:sz w:val="23"/>
          <w:szCs w:val="23"/>
          <w:lang w:val="sr-Cyrl-RS"/>
        </w:rPr>
        <w:t>484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preporuka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sprovedene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602BE" w:rsidRPr="00F6135D">
        <w:rPr>
          <w:rFonts w:ascii="Times New Roman" w:hAnsi="Times New Roman"/>
          <w:sz w:val="23"/>
          <w:szCs w:val="23"/>
        </w:rPr>
        <w:t>.</w:t>
      </w:r>
    </w:p>
    <w:p w:rsidR="00E602BE" w:rsidRPr="00F6135D" w:rsidRDefault="002B3021" w:rsidP="006153EB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Vrhovni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ukazao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osnovu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nalaza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revizijama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E602BE" w:rsidRPr="00F6135D">
        <w:rPr>
          <w:rFonts w:ascii="Times New Roman" w:hAnsi="Times New Roman"/>
          <w:sz w:val="23"/>
          <w:szCs w:val="23"/>
        </w:rPr>
        <w:t xml:space="preserve"> 4, </w:t>
      </w:r>
      <w:r>
        <w:rPr>
          <w:rFonts w:ascii="Times New Roman" w:hAnsi="Times New Roman"/>
          <w:sz w:val="23"/>
          <w:szCs w:val="23"/>
        </w:rPr>
        <w:t>podnela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ukupno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 w:rsidR="006153EB">
        <w:rPr>
          <w:rFonts w:ascii="Times New Roman" w:hAnsi="Times New Roman"/>
          <w:sz w:val="23"/>
          <w:szCs w:val="23"/>
          <w:lang w:val="sr-Cyrl-RS"/>
        </w:rPr>
        <w:t xml:space="preserve">20 </w:t>
      </w:r>
      <w:r>
        <w:rPr>
          <w:rFonts w:ascii="Times New Roman" w:hAnsi="Times New Roman"/>
          <w:sz w:val="23"/>
          <w:szCs w:val="23"/>
        </w:rPr>
        <w:t>prijava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čega</w:t>
      </w:r>
      <w:r w:rsidR="00E602BE" w:rsidRPr="00F6135D">
        <w:rPr>
          <w:rFonts w:ascii="Times New Roman" w:hAnsi="Times New Roman"/>
          <w:sz w:val="23"/>
          <w:szCs w:val="23"/>
        </w:rPr>
        <w:t xml:space="preserve">: </w:t>
      </w:r>
      <w:r w:rsidR="006153EB">
        <w:rPr>
          <w:rFonts w:ascii="Times New Roman" w:hAnsi="Times New Roman"/>
          <w:sz w:val="23"/>
          <w:szCs w:val="23"/>
          <w:lang w:val="sr-Cyrl-RS"/>
        </w:rPr>
        <w:t>10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zahteva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pokretanje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prekršajnog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postupka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 w:rsidR="006153EB">
        <w:rPr>
          <w:rFonts w:ascii="Times New Roman" w:hAnsi="Times New Roman"/>
          <w:sz w:val="23"/>
          <w:szCs w:val="23"/>
          <w:lang w:val="sr-Cyrl-RS"/>
        </w:rPr>
        <w:t>19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odgovornih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lica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 w:rsidR="006153EB">
        <w:rPr>
          <w:rFonts w:ascii="Times New Roman" w:hAnsi="Times New Roman"/>
          <w:sz w:val="23"/>
          <w:szCs w:val="23"/>
          <w:lang w:val="sr-Cyrl-RS"/>
        </w:rPr>
        <w:t>10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prijava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privredni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prestup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 w:rsidR="006153EB">
        <w:rPr>
          <w:rFonts w:ascii="Times New Roman" w:hAnsi="Times New Roman"/>
          <w:sz w:val="23"/>
          <w:szCs w:val="23"/>
          <w:lang w:val="sr-Cyrl-RS"/>
        </w:rPr>
        <w:t xml:space="preserve">66 </w:t>
      </w:r>
      <w:r>
        <w:rPr>
          <w:rFonts w:ascii="Times New Roman" w:hAnsi="Times New Roman"/>
          <w:sz w:val="23"/>
          <w:szCs w:val="23"/>
        </w:rPr>
        <w:t>odgovorn</w:t>
      </w:r>
      <w:r>
        <w:rPr>
          <w:rFonts w:ascii="Times New Roman" w:hAnsi="Times New Roman"/>
          <w:sz w:val="23"/>
          <w:szCs w:val="23"/>
          <w:lang w:val="sr-Cyrl-RS"/>
        </w:rPr>
        <w:t>ih</w:t>
      </w:r>
      <w:r w:rsidR="00E602BE" w:rsidRPr="00F613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lica</w:t>
      </w:r>
      <w:r w:rsidR="00E602BE" w:rsidRPr="00F6135D">
        <w:rPr>
          <w:rFonts w:ascii="Times New Roman" w:hAnsi="Times New Roman"/>
          <w:sz w:val="23"/>
          <w:szCs w:val="23"/>
        </w:rPr>
        <w:t>.</w:t>
      </w:r>
    </w:p>
    <w:p w:rsidR="00E602BE" w:rsidRDefault="002B3021" w:rsidP="00ED00E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U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diskusiji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učestvovali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Rozalija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Ekres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Svetlana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Milijić</w:t>
      </w:r>
      <w:r w:rsidR="00E602BE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čija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izlaganja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tonski</w:t>
      </w:r>
      <w:r w:rsidR="00E602BE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snimana</w:t>
      </w:r>
      <w:r w:rsidR="00E602BE" w:rsidRPr="00103F5D">
        <w:rPr>
          <w:rFonts w:ascii="Times New Roman" w:hAnsi="Times New Roman"/>
          <w:sz w:val="23"/>
          <w:szCs w:val="23"/>
        </w:rPr>
        <w:t>.</w:t>
      </w:r>
    </w:p>
    <w:p w:rsidR="00103F5D" w:rsidRPr="00103F5D" w:rsidRDefault="00ED00E3" w:rsidP="00ED00E3">
      <w:pPr>
        <w:pStyle w:val="NoSpacing"/>
        <w:ind w:left="360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* * *</w:t>
      </w:r>
    </w:p>
    <w:p w:rsidR="00ED00E3" w:rsidRDefault="00ED00E3" w:rsidP="00103F5D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CS"/>
        </w:rPr>
      </w:pPr>
    </w:p>
    <w:p w:rsidR="00103F5D" w:rsidRPr="00103F5D" w:rsidRDefault="002B3021" w:rsidP="00103F5D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Zajednički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jedinstveni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pretres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o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tačkama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3.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i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4.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dnevnog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reda</w:t>
      </w:r>
      <w:r w:rsidR="00103F5D"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: </w:t>
      </w:r>
      <w:r>
        <w:rPr>
          <w:rFonts w:ascii="Times New Roman" w:hAnsi="Times New Roman"/>
          <w:sz w:val="23"/>
          <w:szCs w:val="23"/>
        </w:rPr>
        <w:t>Razmatranje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Pododbora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razmatranju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sektorskih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 w:rsidR="00103F5D" w:rsidRPr="00103F5D">
        <w:rPr>
          <w:rFonts w:ascii="Times New Roman" w:hAnsi="Times New Roman"/>
          <w:sz w:val="23"/>
          <w:szCs w:val="23"/>
          <w:lang w:val="sr-Cyrl-RS"/>
        </w:rPr>
        <w:t>2022</w:t>
      </w:r>
      <w:r w:rsidR="00103F5D" w:rsidRPr="00103F5D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godini</w:t>
      </w:r>
      <w:r w:rsidR="00103F5D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 w:rsidR="00103F5D" w:rsidRPr="00103F5D">
        <w:rPr>
          <w:rFonts w:ascii="Times New Roman" w:hAnsi="Times New Roman"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</w:rPr>
        <w:t>Sektor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 w:rsidR="00103F5D" w:rsidRPr="00103F5D">
        <w:rPr>
          <w:rFonts w:ascii="Times New Roman" w:hAnsi="Times New Roman"/>
          <w:sz w:val="23"/>
          <w:szCs w:val="23"/>
          <w:lang w:val="sr-Cyrl-RS"/>
        </w:rPr>
        <w:t>3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 w:rsidR="00103F5D" w:rsidRPr="00103F5D">
        <w:rPr>
          <w:rFonts w:ascii="Times New Roman" w:hAnsi="Times New Roman"/>
          <w:sz w:val="23"/>
          <w:szCs w:val="23"/>
          <w:lang w:val="sr-Cyrl-RS"/>
        </w:rPr>
        <w:t>4</w:t>
      </w:r>
    </w:p>
    <w:p w:rsidR="00103F5D" w:rsidRPr="00103F5D" w:rsidRDefault="00103F5D" w:rsidP="00103F5D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103F5D" w:rsidRDefault="002B3021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S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obzirom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sednici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Pododbora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nisu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stekli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uslovi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odlučivanje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propisani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članom</w:t>
      </w:r>
      <w:r w:rsidR="00103F5D" w:rsidRPr="00103F5D">
        <w:rPr>
          <w:rFonts w:ascii="Times New Roman" w:hAnsi="Times New Roman"/>
          <w:sz w:val="23"/>
          <w:szCs w:val="23"/>
        </w:rPr>
        <w:t xml:space="preserve"> 80. </w:t>
      </w:r>
      <w:r>
        <w:rPr>
          <w:rFonts w:ascii="Times New Roman" w:hAnsi="Times New Roman"/>
          <w:sz w:val="23"/>
          <w:szCs w:val="23"/>
        </w:rPr>
        <w:t>Poslovnika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Narodne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skupštine</w:t>
      </w:r>
      <w:r w:rsidR="00103F5D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Pododbor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predložio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Odboru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prihvati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razmatrane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revizijama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sektorskih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103F5D" w:rsidRPr="00103F5D">
        <w:rPr>
          <w:rFonts w:ascii="Times New Roman" w:hAnsi="Times New Roman"/>
          <w:sz w:val="23"/>
          <w:szCs w:val="23"/>
        </w:rPr>
        <w:t xml:space="preserve"> 2022. </w:t>
      </w:r>
      <w:r>
        <w:rPr>
          <w:rFonts w:ascii="Times New Roman" w:hAnsi="Times New Roman"/>
          <w:sz w:val="23"/>
          <w:szCs w:val="23"/>
        </w:rPr>
        <w:t>godini</w:t>
      </w:r>
      <w:r w:rsidR="00103F5D" w:rsidRPr="00103F5D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Sektor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103F5D" w:rsidRPr="00103F5D">
        <w:rPr>
          <w:rFonts w:ascii="Times New Roman" w:hAnsi="Times New Roman"/>
          <w:sz w:val="23"/>
          <w:szCs w:val="23"/>
        </w:rPr>
        <w:t xml:space="preserve"> 3 </w:t>
      </w:r>
      <w:r>
        <w:rPr>
          <w:rFonts w:ascii="Times New Roman" w:hAnsi="Times New Roman"/>
          <w:sz w:val="23"/>
          <w:szCs w:val="23"/>
        </w:rPr>
        <w:t>i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broj</w:t>
      </w:r>
      <w:r w:rsidR="00103F5D" w:rsidRPr="00103F5D">
        <w:rPr>
          <w:rFonts w:ascii="Times New Roman" w:hAnsi="Times New Roman"/>
          <w:sz w:val="23"/>
          <w:szCs w:val="23"/>
        </w:rPr>
        <w:t xml:space="preserve"> 4, </w:t>
      </w:r>
      <w:r>
        <w:rPr>
          <w:rFonts w:ascii="Times New Roman" w:hAnsi="Times New Roman"/>
          <w:sz w:val="23"/>
          <w:szCs w:val="23"/>
        </w:rPr>
        <w:t>sa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preporukama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103F5D" w:rsidRPr="00103F5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103F5D" w:rsidRPr="00103F5D">
        <w:rPr>
          <w:rFonts w:ascii="Times New Roman" w:hAnsi="Times New Roman"/>
          <w:sz w:val="23"/>
          <w:szCs w:val="23"/>
        </w:rPr>
        <w:t>.</w:t>
      </w:r>
    </w:p>
    <w:p w:rsidR="00B83893" w:rsidRPr="00B83893" w:rsidRDefault="00B83893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83893" w:rsidRPr="009441B6" w:rsidRDefault="002B3021" w:rsidP="00B83893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Diskusije</w:t>
      </w:r>
      <w:r w:rsidR="00B8389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</w:t>
      </w:r>
      <w:r w:rsidR="00B8389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ovim</w:t>
      </w:r>
      <w:r w:rsidR="00B8389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tačk</w:t>
      </w:r>
      <w:r>
        <w:rPr>
          <w:rFonts w:ascii="Times New Roman" w:hAnsi="Times New Roman"/>
          <w:sz w:val="23"/>
          <w:szCs w:val="23"/>
          <w:lang w:val="sr-Cyrl-RS"/>
        </w:rPr>
        <w:t>ama</w:t>
      </w:r>
      <w:r w:rsidR="00B8389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dnevnog</w:t>
      </w:r>
      <w:r w:rsidR="00B8389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reda</w:t>
      </w:r>
      <w:r w:rsidR="00B8389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nije</w:t>
      </w:r>
      <w:r w:rsidR="00B8389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bilo</w:t>
      </w:r>
      <w:r w:rsidR="00B83893">
        <w:rPr>
          <w:rFonts w:ascii="Times New Roman" w:hAnsi="Times New Roman"/>
          <w:sz w:val="23"/>
          <w:szCs w:val="23"/>
        </w:rPr>
        <w:t>.</w:t>
      </w:r>
    </w:p>
    <w:p w:rsidR="00B83893" w:rsidRPr="00B83893" w:rsidRDefault="002B3021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Na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osnovu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člana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55.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Poslovnika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Narodne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skupštine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B838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,(9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podnos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B8389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3893" w:rsidRP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893" w:rsidRDefault="002B3021" w:rsidP="00B8389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3893" w:rsidRDefault="002B3021" w:rsidP="00B8389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Odbor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za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finansije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republički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budžet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kontrolu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trošenja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javnih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sredstava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razmotrio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prihvatio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sektorske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izveštaje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Državne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revizorske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institucije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hAnsi="Times New Roman"/>
          <w:color w:val="000000" w:themeColor="text1"/>
          <w:sz w:val="24"/>
          <w:szCs w:val="24"/>
        </w:rPr>
        <w:t>godini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Sektor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bro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j 3,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preporukama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Državne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revizorske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institucije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83893" w:rsidRPr="00720BE8" w:rsidRDefault="00B83893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3893" w:rsidRDefault="002B3021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Sastavni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deo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ovog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izveštaja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Pregled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sa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nazivima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sektorskih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izveštaja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Državne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revizorske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institucije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u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godini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Sektor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broj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3.</w:t>
      </w:r>
    </w:p>
    <w:p w:rsidR="00E73A3B" w:rsidRDefault="00E73A3B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893" w:rsidRPr="00B83893" w:rsidRDefault="002B3021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Na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osnovu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člana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55.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Poslovnika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Narodne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skupštine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B838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,(9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38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podnos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B8389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3893" w:rsidRDefault="002B3021" w:rsidP="00B8389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B8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3893" w:rsidRDefault="002B3021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Odbor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za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finansije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republički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budžet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kontrolu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trošenja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javnih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sredstava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razmotrio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prihvatio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sektorske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izveštaje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Državne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revizorske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institucije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hAnsi="Times New Roman"/>
          <w:color w:val="000000" w:themeColor="text1"/>
          <w:sz w:val="24"/>
          <w:szCs w:val="24"/>
        </w:rPr>
        <w:t>godini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Sektor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bro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j 4,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preporukama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Državne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revizorske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institucije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83893" w:rsidRPr="008A6542" w:rsidRDefault="00B83893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3893" w:rsidRDefault="002B3021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Sastavni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deo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ovog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izveštaja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Pregled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nazivima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sektorskih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izveštaja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Državne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revizorske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institucije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u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3893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godini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Sektor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broj</w:t>
      </w:r>
      <w:r w:rsidR="00B838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4.</w:t>
      </w:r>
    </w:p>
    <w:p w:rsidR="00B83893" w:rsidRPr="00ED00E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00E3">
        <w:rPr>
          <w:rFonts w:ascii="Times New Roman" w:hAnsi="Times New Roman"/>
          <w:sz w:val="24"/>
          <w:szCs w:val="24"/>
        </w:rPr>
        <w:tab/>
      </w:r>
    </w:p>
    <w:p w:rsidR="00ED00E3" w:rsidRPr="00ED00E3" w:rsidRDefault="002B3021" w:rsidP="00ED00E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Peta</w:t>
      </w:r>
      <w:r w:rsidR="00ED00E3" w:rsidRPr="00ED00E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tačka</w:t>
      </w:r>
      <w:r w:rsidR="00ED00E3" w:rsidRPr="00ED00E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dnevnog</w:t>
      </w:r>
      <w:r w:rsidR="00ED00E3" w:rsidRPr="00ED00E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reda</w:t>
      </w:r>
      <w:r w:rsidR="00ED00E3" w:rsidRPr="00ED00E3">
        <w:rPr>
          <w:rFonts w:ascii="Times New Roman" w:hAnsi="Times New Roman" w:cs="Times New Roman"/>
          <w:b/>
          <w:sz w:val="23"/>
          <w:szCs w:val="23"/>
        </w:rPr>
        <w:t xml:space="preserve">:  </w:t>
      </w:r>
      <w:r>
        <w:rPr>
          <w:rFonts w:ascii="Times New Roman" w:hAnsi="Times New Roman" w:cs="Times New Roman"/>
          <w:b/>
          <w:sz w:val="23"/>
          <w:szCs w:val="23"/>
        </w:rPr>
        <w:t>Donošenje</w:t>
      </w:r>
      <w:r w:rsidR="00ED00E3" w:rsidRPr="00ED00E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Odluke</w:t>
      </w:r>
      <w:r w:rsidR="00ED00E3" w:rsidRPr="00ED00E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o</w:t>
      </w:r>
      <w:r w:rsidR="00ED00E3" w:rsidRPr="00ED00E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organizovanju</w:t>
      </w:r>
      <w:r w:rsidR="00ED00E3" w:rsidRPr="00ED00E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javnog</w:t>
      </w:r>
      <w:r w:rsidR="00ED00E3" w:rsidRPr="00ED00E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slušanja</w:t>
      </w:r>
      <w:r w:rsidR="00ED00E3" w:rsidRPr="00ED00E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D00E3" w:rsidRPr="00ED00E3" w:rsidRDefault="002B3021" w:rsidP="00ED00E3">
      <w:pPr>
        <w:pStyle w:val="ListParagraph"/>
        <w:ind w:left="0"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shd w:val="clear" w:color="auto" w:fill="FFFFFF"/>
        </w:rPr>
        <w:t>Na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osnovu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člana</w:t>
      </w:r>
      <w:r w:rsidR="00ED00E3" w:rsidRPr="00ED00E3">
        <w:rPr>
          <w:sz w:val="23"/>
          <w:szCs w:val="23"/>
          <w:shd w:val="clear" w:color="auto" w:fill="FFFFFF"/>
        </w:rPr>
        <w:t xml:space="preserve"> 84. </w:t>
      </w:r>
      <w:r>
        <w:rPr>
          <w:sz w:val="23"/>
          <w:szCs w:val="23"/>
          <w:shd w:val="clear" w:color="auto" w:fill="FFFFFF"/>
        </w:rPr>
        <w:t>Poslovnika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predsednik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Odbora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Veroljub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Arsić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je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predložio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da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Odbor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organizuje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javno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slušanje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na</w:t>
      </w:r>
      <w:r w:rsidR="00ED00E3" w:rsidRPr="00ED00E3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temu</w:t>
      </w:r>
      <w:r w:rsidR="00ED00E3" w:rsidRPr="00ED00E3">
        <w:rPr>
          <w:sz w:val="23"/>
          <w:szCs w:val="23"/>
          <w:shd w:val="clear" w:color="auto" w:fill="FFFFFF"/>
        </w:rPr>
        <w:t>: „</w:t>
      </w:r>
      <w:r>
        <w:rPr>
          <w:color w:val="000000"/>
          <w:sz w:val="23"/>
          <w:szCs w:val="23"/>
          <w:lang w:val="sr-Cyrl-CS"/>
        </w:rPr>
        <w:t>Predstavljanje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Predloga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zakona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o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</w:rPr>
        <w:t>budžetu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Republike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Srbije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za</w:t>
      </w:r>
      <w:r w:rsidR="00ED00E3" w:rsidRPr="00ED00E3">
        <w:rPr>
          <w:color w:val="000000"/>
          <w:sz w:val="23"/>
          <w:szCs w:val="23"/>
        </w:rPr>
        <w:t xml:space="preserve"> 2024. </w:t>
      </w:r>
      <w:r>
        <w:rPr>
          <w:color w:val="000000"/>
          <w:sz w:val="23"/>
          <w:szCs w:val="23"/>
        </w:rPr>
        <w:t>godinu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Predloga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zakona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završnom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računu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budžeta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Republike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Srbije</w:t>
      </w:r>
      <w:r w:rsidR="00ED00E3" w:rsidRPr="00ED00E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za</w:t>
      </w:r>
      <w:r w:rsidR="00ED00E3" w:rsidRPr="00ED00E3">
        <w:rPr>
          <w:color w:val="000000"/>
          <w:sz w:val="23"/>
          <w:szCs w:val="23"/>
        </w:rPr>
        <w:t xml:space="preserve"> 2022. </w:t>
      </w:r>
      <w:r>
        <w:rPr>
          <w:color w:val="000000"/>
          <w:sz w:val="23"/>
          <w:szCs w:val="23"/>
        </w:rPr>
        <w:t>godinu</w:t>
      </w:r>
      <w:r w:rsidR="00ED00E3" w:rsidRPr="00ED00E3">
        <w:rPr>
          <w:color w:val="000000"/>
          <w:sz w:val="23"/>
          <w:szCs w:val="23"/>
          <w:lang w:val="sr-Cyrl-CS"/>
        </w:rPr>
        <w:t xml:space="preserve">“, </w:t>
      </w:r>
      <w:r>
        <w:rPr>
          <w:color w:val="000000"/>
          <w:sz w:val="23"/>
          <w:szCs w:val="23"/>
          <w:lang w:val="sr-Cyrl-CS"/>
        </w:rPr>
        <w:t>koje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bi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se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održalo</w:t>
      </w:r>
      <w:r w:rsidR="00ED00E3" w:rsidRPr="00ED00E3">
        <w:rPr>
          <w:color w:val="000000"/>
          <w:sz w:val="23"/>
          <w:szCs w:val="23"/>
          <w:lang w:val="sr-Cyrl-CS"/>
        </w:rPr>
        <w:t xml:space="preserve"> 20. </w:t>
      </w:r>
      <w:r>
        <w:rPr>
          <w:color w:val="000000"/>
          <w:sz w:val="23"/>
          <w:szCs w:val="23"/>
          <w:lang w:val="sr-Cyrl-CS"/>
        </w:rPr>
        <w:t>oktobra</w:t>
      </w:r>
      <w:r w:rsidR="00ED00E3" w:rsidRPr="00ED00E3">
        <w:rPr>
          <w:color w:val="000000"/>
          <w:sz w:val="23"/>
          <w:szCs w:val="23"/>
          <w:lang w:val="sr-Cyrl-CS"/>
        </w:rPr>
        <w:t xml:space="preserve"> 2023. </w:t>
      </w:r>
      <w:r>
        <w:rPr>
          <w:color w:val="000000"/>
          <w:sz w:val="23"/>
          <w:szCs w:val="23"/>
          <w:lang w:val="sr-Cyrl-CS"/>
        </w:rPr>
        <w:t>godine</w:t>
      </w:r>
      <w:r w:rsidR="00ED00E3" w:rsidRPr="00ED00E3">
        <w:rPr>
          <w:color w:val="000000"/>
          <w:sz w:val="23"/>
          <w:szCs w:val="23"/>
          <w:lang w:val="sr-Cyrl-CS"/>
        </w:rPr>
        <w:t xml:space="preserve">, </w:t>
      </w:r>
      <w:r>
        <w:rPr>
          <w:color w:val="000000"/>
          <w:sz w:val="23"/>
          <w:szCs w:val="23"/>
          <w:lang w:val="sr-Cyrl-CS"/>
        </w:rPr>
        <w:t>sa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početkom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u</w:t>
      </w:r>
      <w:r w:rsidR="00ED00E3" w:rsidRPr="00ED00E3">
        <w:rPr>
          <w:color w:val="000000"/>
          <w:sz w:val="23"/>
          <w:szCs w:val="23"/>
          <w:lang w:val="sr-Cyrl-CS"/>
        </w:rPr>
        <w:t xml:space="preserve"> 13,00 </w:t>
      </w:r>
      <w:r>
        <w:rPr>
          <w:color w:val="000000"/>
          <w:sz w:val="23"/>
          <w:szCs w:val="23"/>
          <w:lang w:val="sr-Cyrl-CS"/>
        </w:rPr>
        <w:t>časova</w:t>
      </w:r>
      <w:r w:rsidR="00ED00E3" w:rsidRPr="00ED00E3">
        <w:rPr>
          <w:color w:val="000000"/>
          <w:sz w:val="23"/>
          <w:szCs w:val="23"/>
          <w:lang w:val="sr-Cyrl-CS"/>
        </w:rPr>
        <w:t xml:space="preserve">, </w:t>
      </w:r>
      <w:r>
        <w:rPr>
          <w:color w:val="000000"/>
          <w:sz w:val="23"/>
          <w:szCs w:val="23"/>
          <w:lang w:val="sr-Cyrl-CS"/>
        </w:rPr>
        <w:t>u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Maloj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sali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Doma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Narodne</w:t>
      </w:r>
      <w:r w:rsidR="00ED00E3" w:rsidRPr="00ED00E3">
        <w:rPr>
          <w:color w:val="000000"/>
          <w:sz w:val="23"/>
          <w:szCs w:val="23"/>
          <w:lang w:val="sr-Cyrl-CS"/>
        </w:rPr>
        <w:t xml:space="preserve"> </w:t>
      </w:r>
      <w:r>
        <w:rPr>
          <w:color w:val="000000"/>
          <w:sz w:val="23"/>
          <w:szCs w:val="23"/>
          <w:lang w:val="sr-Cyrl-CS"/>
        </w:rPr>
        <w:t>skupštine</w:t>
      </w:r>
      <w:r w:rsidR="00ED00E3" w:rsidRPr="00ED00E3">
        <w:rPr>
          <w:color w:val="000000"/>
          <w:sz w:val="23"/>
          <w:szCs w:val="23"/>
          <w:lang w:val="sr-Cyrl-CS"/>
        </w:rPr>
        <w:t>.</w:t>
      </w:r>
    </w:p>
    <w:p w:rsidR="00ED00E3" w:rsidRDefault="00ED00E3" w:rsidP="00ED00E3">
      <w:pPr>
        <w:pStyle w:val="NoSpacing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lang w:val="sr-Cyrl-CS"/>
        </w:rPr>
        <w:tab/>
      </w:r>
      <w:r w:rsidR="002B3021">
        <w:rPr>
          <w:rFonts w:ascii="Times New Roman" w:hAnsi="Times New Roman"/>
          <w:sz w:val="23"/>
          <w:szCs w:val="23"/>
          <w:lang w:val="sr-Cyrl-CS"/>
        </w:rPr>
        <w:t>Na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javno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slušanje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pozivaju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: </w:t>
      </w:r>
      <w:r w:rsidR="002B3021">
        <w:rPr>
          <w:rFonts w:ascii="Times New Roman" w:hAnsi="Times New Roman"/>
          <w:sz w:val="23"/>
          <w:szCs w:val="23"/>
          <w:lang w:val="sr-Cyrl-CS"/>
        </w:rPr>
        <w:t>članovi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zamenici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članova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Odbora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za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finansije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2B3021">
        <w:rPr>
          <w:rFonts w:ascii="Times New Roman" w:hAnsi="Times New Roman"/>
          <w:sz w:val="23"/>
          <w:szCs w:val="23"/>
          <w:lang w:val="sr-Cyrl-CS"/>
        </w:rPr>
        <w:t>republički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budžet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kontrolu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trošenja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javnih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sredstava</w:t>
      </w:r>
      <w:r w:rsidRPr="00ED00E3">
        <w:rPr>
          <w:rFonts w:ascii="Times New Roman" w:hAnsi="Times New Roman"/>
          <w:sz w:val="23"/>
          <w:szCs w:val="23"/>
          <w:lang w:val="sr-Cyrl-CS"/>
        </w:rPr>
        <w:t>,</w:t>
      </w:r>
      <w:r w:rsidRPr="00ED00E3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predsednici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poslaničkih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grupa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Narodne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skupštine</w:t>
      </w:r>
      <w:r w:rsidRPr="00ED00E3">
        <w:rPr>
          <w:rFonts w:ascii="Times New Roman" w:hAnsi="Times New Roman"/>
          <w:sz w:val="23"/>
          <w:szCs w:val="23"/>
          <w:lang w:val="sr-Cyrl-CS"/>
        </w:rPr>
        <w:t>,</w:t>
      </w:r>
      <w:r w:rsidRPr="00ED00E3">
        <w:rPr>
          <w:rFonts w:ascii="Times New Roman" w:hAnsi="Times New Roman"/>
          <w:sz w:val="23"/>
          <w:szCs w:val="23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predsednici</w:t>
      </w:r>
      <w:r w:rsidRPr="00ED00E3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Odbora</w:t>
      </w:r>
      <w:r w:rsidRPr="00ED00E3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u</w:t>
      </w:r>
      <w:r w:rsidRPr="00ED00E3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Narodnoj</w:t>
      </w:r>
      <w:r w:rsidRPr="00ED00E3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RS"/>
        </w:rPr>
        <w:t>skupštini</w:t>
      </w:r>
      <w:r w:rsidRPr="00ED00E3">
        <w:rPr>
          <w:rFonts w:ascii="Times New Roman" w:hAnsi="Times New Roman"/>
          <w:sz w:val="23"/>
          <w:szCs w:val="23"/>
          <w:lang w:val="sr-Cyrl-RS"/>
        </w:rPr>
        <w:t>,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predstavnici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Vlade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nadležnog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ministarstava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2B3021">
        <w:rPr>
          <w:rFonts w:ascii="Times New Roman" w:hAnsi="Times New Roman"/>
          <w:sz w:val="23"/>
          <w:szCs w:val="23"/>
          <w:lang w:val="sr-Cyrl-CS"/>
        </w:rPr>
        <w:t>predstavnici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Narodne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banke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Srbije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2B3021">
        <w:rPr>
          <w:rFonts w:ascii="Times New Roman" w:hAnsi="Times New Roman"/>
          <w:sz w:val="23"/>
          <w:szCs w:val="23"/>
          <w:lang w:val="sr-Cyrl-CS"/>
        </w:rPr>
        <w:t>predstavnici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Fiskalnog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saveta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2B3021">
        <w:rPr>
          <w:rFonts w:ascii="Times New Roman" w:hAnsi="Times New Roman"/>
          <w:sz w:val="23"/>
          <w:szCs w:val="23"/>
          <w:lang w:val="sr-Cyrl-CS"/>
        </w:rPr>
        <w:t>predstavnici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Državne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revizorske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institucije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kao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drugih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institucija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organizacija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u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Srbiji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2B3021">
        <w:rPr>
          <w:rFonts w:ascii="Times New Roman" w:hAnsi="Times New Roman"/>
          <w:sz w:val="23"/>
          <w:szCs w:val="23"/>
          <w:lang w:val="sr-Cyrl-CS"/>
        </w:rPr>
        <w:t>predstavnici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stručne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javnosti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kao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i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organizacija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civilnog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B3021">
        <w:rPr>
          <w:rFonts w:ascii="Times New Roman" w:hAnsi="Times New Roman"/>
          <w:sz w:val="23"/>
          <w:szCs w:val="23"/>
          <w:lang w:val="sr-Cyrl-CS"/>
        </w:rPr>
        <w:t>društva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.  </w:t>
      </w:r>
    </w:p>
    <w:p w:rsidR="00ED00E3" w:rsidRPr="00ED00E3" w:rsidRDefault="002B3021" w:rsidP="00ED00E3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osnovu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člana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84.</w:t>
      </w:r>
      <w:r w:rsidR="00ED00E3" w:rsidRPr="00ED00E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Poslovnika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finansije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republički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budžet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kontrolu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trošenja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javnih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sredstava</w:t>
      </w:r>
      <w:r w:rsidR="00ED00E3"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(9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organozovanju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javnog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slušanja</w:t>
      </w:r>
      <w:r w:rsidR="00ED00E3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ED00E3" w:rsidRPr="00F16CF1" w:rsidRDefault="00ED00E3" w:rsidP="00ED00E3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F16CF1">
        <w:rPr>
          <w:sz w:val="28"/>
          <w:szCs w:val="28"/>
          <w:lang w:val="sr-Cyrl-CS"/>
        </w:rPr>
        <w:t xml:space="preserve"> </w:t>
      </w:r>
    </w:p>
    <w:p w:rsidR="00E602BE" w:rsidRPr="00CF09FF" w:rsidRDefault="002B3021" w:rsidP="00E602BE">
      <w:pPr>
        <w:pStyle w:val="NoSpacing"/>
        <w:spacing w:after="240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Sednica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je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završena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u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677617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11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,</w:t>
      </w:r>
      <w:r w:rsidR="00677617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3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5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časova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E602BE" w:rsidRPr="00CF09FF" w:rsidRDefault="002B3021" w:rsidP="00E602BE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Sednica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je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tonski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snimana</w:t>
      </w:r>
      <w:r w:rsidR="00E602BE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eastAsia="sr-Cyrl-CS"/>
        </w:rPr>
      </w:pP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</w:t>
      </w:r>
      <w:r w:rsidR="002B3021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SEKRETAR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                          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  <w:t xml:space="preserve">                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="00ED00E3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</w:t>
      </w:r>
      <w:r w:rsidR="002B3021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PREDSEDNIK</w:t>
      </w: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F63741" w:rsidRDefault="00ED00E3" w:rsidP="00892857">
      <w:pPr>
        <w:pStyle w:val="NoSpacing"/>
        <w:jc w:val="both"/>
      </w:pP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</w:t>
      </w:r>
      <w:r w:rsidR="002B3021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Tijana</w:t>
      </w:r>
      <w:r w:rsidR="00E602BE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Ignjatović</w:t>
      </w:r>
      <w:r w:rsidR="00E602BE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        </w:t>
      </w: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Veroljub</w:t>
      </w:r>
      <w:r w:rsidR="00E602BE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2B3021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Arsić</w:t>
      </w:r>
    </w:p>
    <w:sectPr w:rsidR="00F63741" w:rsidSect="00ED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D4" w:rsidRDefault="00F618D4" w:rsidP="000D7A7E">
      <w:pPr>
        <w:spacing w:after="0" w:line="240" w:lineRule="auto"/>
      </w:pPr>
      <w:r>
        <w:separator/>
      </w:r>
    </w:p>
  </w:endnote>
  <w:endnote w:type="continuationSeparator" w:id="0">
    <w:p w:rsidR="00F618D4" w:rsidRDefault="00F618D4" w:rsidP="000D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21" w:rsidRDefault="002B3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6928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09F" w:rsidRPr="00CF09FF" w:rsidRDefault="001B009F">
        <w:pPr>
          <w:pStyle w:val="Footer"/>
          <w:jc w:val="center"/>
          <w:rPr>
            <w:rFonts w:ascii="Times New Roman" w:hAnsi="Times New Roman" w:cs="Times New Roman"/>
          </w:rPr>
        </w:pPr>
        <w:r w:rsidRPr="00CF09FF">
          <w:rPr>
            <w:rFonts w:ascii="Times New Roman" w:hAnsi="Times New Roman" w:cs="Times New Roman"/>
          </w:rPr>
          <w:fldChar w:fldCharType="begin"/>
        </w:r>
        <w:r w:rsidRPr="00CF09FF">
          <w:rPr>
            <w:rFonts w:ascii="Times New Roman" w:hAnsi="Times New Roman" w:cs="Times New Roman"/>
          </w:rPr>
          <w:instrText xml:space="preserve"> PAGE   \* MERGEFORMAT </w:instrText>
        </w:r>
        <w:r w:rsidRPr="00CF09FF">
          <w:rPr>
            <w:rFonts w:ascii="Times New Roman" w:hAnsi="Times New Roman" w:cs="Times New Roman"/>
          </w:rPr>
          <w:fldChar w:fldCharType="separate"/>
        </w:r>
        <w:r w:rsidR="002B3021">
          <w:rPr>
            <w:rFonts w:ascii="Times New Roman" w:hAnsi="Times New Roman" w:cs="Times New Roman"/>
            <w:noProof/>
          </w:rPr>
          <w:t>6</w:t>
        </w:r>
        <w:r w:rsidRPr="00CF09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B009F" w:rsidRDefault="001B00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21" w:rsidRDefault="002B3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D4" w:rsidRDefault="00F618D4" w:rsidP="000D7A7E">
      <w:pPr>
        <w:spacing w:after="0" w:line="240" w:lineRule="auto"/>
      </w:pPr>
      <w:r>
        <w:separator/>
      </w:r>
    </w:p>
  </w:footnote>
  <w:footnote w:type="continuationSeparator" w:id="0">
    <w:p w:rsidR="00F618D4" w:rsidRDefault="00F618D4" w:rsidP="000D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21" w:rsidRDefault="002B30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21" w:rsidRDefault="002B30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21" w:rsidRDefault="002B3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0CE2"/>
    <w:multiLevelType w:val="hybridMultilevel"/>
    <w:tmpl w:val="E0F25568"/>
    <w:lvl w:ilvl="0" w:tplc="EE26D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AD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26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08B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C54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6A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A5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8AF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09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536F1"/>
    <w:multiLevelType w:val="hybridMultilevel"/>
    <w:tmpl w:val="0B0AE512"/>
    <w:lvl w:ilvl="0" w:tplc="8A766D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0C5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62E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72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03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C1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AD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0E6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83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7108C"/>
    <w:multiLevelType w:val="hybridMultilevel"/>
    <w:tmpl w:val="0A34CA24"/>
    <w:lvl w:ilvl="0" w:tplc="86142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09E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47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8D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29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C4B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413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E0D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0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4F48"/>
    <w:multiLevelType w:val="hybridMultilevel"/>
    <w:tmpl w:val="935A7A0A"/>
    <w:lvl w:ilvl="0" w:tplc="3CE80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A3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8A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C1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09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6A1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2D5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8F7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C6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203B9"/>
    <w:multiLevelType w:val="hybridMultilevel"/>
    <w:tmpl w:val="8FB815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C1711"/>
    <w:multiLevelType w:val="hybridMultilevel"/>
    <w:tmpl w:val="533C829C"/>
    <w:lvl w:ilvl="0" w:tplc="332EB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6D3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E6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C8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66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0A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241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44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FD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FA7946"/>
    <w:multiLevelType w:val="hybridMultilevel"/>
    <w:tmpl w:val="D3AABFA4"/>
    <w:lvl w:ilvl="0" w:tplc="8DA2299C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  <w:color w:val="000000" w:themeColor="text1"/>
      </w:rPr>
    </w:lvl>
    <w:lvl w:ilvl="1" w:tplc="28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BE"/>
    <w:rsid w:val="000D7A7E"/>
    <w:rsid w:val="00103F5D"/>
    <w:rsid w:val="001B009F"/>
    <w:rsid w:val="00286026"/>
    <w:rsid w:val="002A2FD5"/>
    <w:rsid w:val="002B3021"/>
    <w:rsid w:val="00374522"/>
    <w:rsid w:val="003F1A5D"/>
    <w:rsid w:val="004001D8"/>
    <w:rsid w:val="00422E0C"/>
    <w:rsid w:val="004908B9"/>
    <w:rsid w:val="00493F89"/>
    <w:rsid w:val="004A166C"/>
    <w:rsid w:val="00587C53"/>
    <w:rsid w:val="00591427"/>
    <w:rsid w:val="005B2EA3"/>
    <w:rsid w:val="005D3695"/>
    <w:rsid w:val="005F3942"/>
    <w:rsid w:val="00603B83"/>
    <w:rsid w:val="006153EB"/>
    <w:rsid w:val="00627DF3"/>
    <w:rsid w:val="00630618"/>
    <w:rsid w:val="0063205F"/>
    <w:rsid w:val="00677617"/>
    <w:rsid w:val="006A4FB3"/>
    <w:rsid w:val="007346CB"/>
    <w:rsid w:val="007D1E87"/>
    <w:rsid w:val="00806C7C"/>
    <w:rsid w:val="00892857"/>
    <w:rsid w:val="00897A7B"/>
    <w:rsid w:val="008C2AA1"/>
    <w:rsid w:val="008C3253"/>
    <w:rsid w:val="009441B6"/>
    <w:rsid w:val="009B2C61"/>
    <w:rsid w:val="00A644B7"/>
    <w:rsid w:val="00B12F04"/>
    <w:rsid w:val="00B83893"/>
    <w:rsid w:val="00B94436"/>
    <w:rsid w:val="00CD5543"/>
    <w:rsid w:val="00E602BE"/>
    <w:rsid w:val="00E73A3B"/>
    <w:rsid w:val="00ED00E3"/>
    <w:rsid w:val="00F27F65"/>
    <w:rsid w:val="00F46DE4"/>
    <w:rsid w:val="00F6135D"/>
    <w:rsid w:val="00F618D4"/>
    <w:rsid w:val="00F63741"/>
    <w:rsid w:val="00F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BE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60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602BE"/>
  </w:style>
  <w:style w:type="character" w:styleId="Emphasis">
    <w:name w:val="Emphasis"/>
    <w:basedOn w:val="DefaultParagraphFont"/>
    <w:uiPriority w:val="20"/>
    <w:qFormat/>
    <w:rsid w:val="00E602B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602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BE"/>
    <w:rPr>
      <w:lang w:val="sr-Cyrl-RS"/>
    </w:rPr>
  </w:style>
  <w:style w:type="character" w:styleId="Strong">
    <w:name w:val="Strong"/>
    <w:basedOn w:val="DefaultParagraphFont"/>
    <w:uiPriority w:val="22"/>
    <w:qFormat/>
    <w:rsid w:val="00A644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BE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60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602BE"/>
  </w:style>
  <w:style w:type="character" w:styleId="Emphasis">
    <w:name w:val="Emphasis"/>
    <w:basedOn w:val="DefaultParagraphFont"/>
    <w:uiPriority w:val="20"/>
    <w:qFormat/>
    <w:rsid w:val="00E602B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602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BE"/>
    <w:rPr>
      <w:lang w:val="sr-Cyrl-RS"/>
    </w:rPr>
  </w:style>
  <w:style w:type="character" w:styleId="Strong">
    <w:name w:val="Strong"/>
    <w:basedOn w:val="DefaultParagraphFont"/>
    <w:uiPriority w:val="22"/>
    <w:qFormat/>
    <w:rsid w:val="00A644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3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2023-11-20T07:16:00Z</dcterms:created>
  <dcterms:modified xsi:type="dcterms:W3CDTF">2023-11-20T07:16:00Z</dcterms:modified>
</cp:coreProperties>
</file>